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AD" w:rsidRPr="00B3436B" w:rsidRDefault="00DA5EAD" w:rsidP="00DA5EAD">
      <w:pPr>
        <w:spacing w:line="276" w:lineRule="auto"/>
        <w:jc w:val="center"/>
        <w:rPr>
          <w:b/>
          <w:sz w:val="28"/>
          <w:szCs w:val="28"/>
        </w:rPr>
      </w:pPr>
      <w:r w:rsidRPr="00B3436B">
        <w:rPr>
          <w:b/>
          <w:sz w:val="28"/>
          <w:szCs w:val="28"/>
        </w:rPr>
        <w:t>ANNEXE A – DESCRIPTION DU PROJET</w:t>
      </w:r>
    </w:p>
    <w:tbl>
      <w:tblPr>
        <w:tblpPr w:leftFromText="180" w:rightFromText="180" w:vertAnchor="text" w:horzAnchor="margin" w:tblpXSpec="right" w:tblpY="225"/>
        <w:tblW w:w="94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07"/>
      </w:tblGrid>
      <w:tr w:rsidR="00DA5EAD" w:rsidRPr="00B3436B" w:rsidTr="00706FDD">
        <w:trPr>
          <w:trHeight w:val="2090"/>
        </w:trPr>
        <w:tc>
          <w:tcPr>
            <w:tcW w:w="9407" w:type="dxa"/>
          </w:tcPr>
          <w:p w:rsidR="00DA5EAD" w:rsidRDefault="00DA5EAD" w:rsidP="00706FDD">
            <w:pPr>
              <w:spacing w:line="276" w:lineRule="auto"/>
              <w:ind w:left="148"/>
              <w:jc w:val="center"/>
              <w:rPr>
                <w:rFonts w:asciiTheme="minorHAnsi" w:hAnsiTheme="minorHAnsi" w:cstheme="minorHAnsi"/>
                <w:b/>
              </w:rPr>
            </w:pPr>
            <w:r w:rsidRPr="0066177D">
              <w:rPr>
                <w:rFonts w:asciiTheme="minorHAnsi" w:eastAsia="Calibri" w:hAnsiTheme="minorHAnsi" w:cstheme="minorHAnsi"/>
                <w:b/>
              </w:rPr>
              <w:t xml:space="preserve">NOM DU PROJET :  </w:t>
            </w:r>
            <w:r w:rsidRPr="0066177D">
              <w:rPr>
                <w:rFonts w:asciiTheme="minorHAnsi" w:hAnsiTheme="minorHAnsi" w:cstheme="minorHAnsi"/>
                <w:b/>
              </w:rPr>
              <w:t xml:space="preserve"> </w:t>
            </w:r>
          </w:p>
          <w:p w:rsidR="00DA5EAD" w:rsidRDefault="00DA5EAD" w:rsidP="00706FDD">
            <w:pPr>
              <w:spacing w:line="276" w:lineRule="auto"/>
              <w:ind w:left="148"/>
              <w:jc w:val="center"/>
              <w:rPr>
                <w:rFonts w:asciiTheme="minorHAnsi" w:hAnsiTheme="minorHAnsi" w:cstheme="minorHAnsi"/>
                <w:b/>
              </w:rPr>
            </w:pPr>
          </w:p>
          <w:p w:rsidR="00DA5EAD" w:rsidRPr="0066177D" w:rsidRDefault="00DA5EAD" w:rsidP="00706FDD">
            <w:pPr>
              <w:spacing w:line="276" w:lineRule="auto"/>
              <w:ind w:left="148"/>
              <w:jc w:val="center"/>
              <w:rPr>
                <w:rFonts w:asciiTheme="minorHAnsi" w:eastAsia="Times New Roman" w:hAnsiTheme="minorHAnsi" w:cstheme="minorHAnsi"/>
                <w:b/>
                <w:bCs/>
                <w:color w:val="000000"/>
                <w:sz w:val="28"/>
                <w:szCs w:val="28"/>
              </w:rPr>
            </w:pPr>
            <w:r w:rsidRPr="00B3436B">
              <w:rPr>
                <w:rFonts w:asciiTheme="minorHAnsi" w:hAnsiTheme="minorHAnsi" w:cstheme="minorHAnsi"/>
                <w:b/>
              </w:rPr>
              <w:t>LES FEMMES DANS LE COMMERCE POUR UNE CROISSANCE INCLUSIVE ET DURABLE</w:t>
            </w:r>
          </w:p>
          <w:p w:rsidR="00DA5EAD" w:rsidRDefault="00DA5EAD" w:rsidP="00706FDD">
            <w:pPr>
              <w:spacing w:line="276" w:lineRule="auto"/>
              <w:ind w:left="148"/>
              <w:jc w:val="center"/>
              <w:rPr>
                <w:rFonts w:asciiTheme="minorHAnsi" w:eastAsia="Calibri" w:hAnsiTheme="minorHAnsi" w:cstheme="minorHAnsi"/>
                <w:bCs/>
              </w:rPr>
            </w:pPr>
          </w:p>
          <w:p w:rsidR="00DA5EAD" w:rsidRPr="00667CA4" w:rsidRDefault="00DA5EAD" w:rsidP="00706FDD">
            <w:pPr>
              <w:spacing w:line="276" w:lineRule="auto"/>
              <w:ind w:left="148"/>
              <w:jc w:val="center"/>
              <w:rPr>
                <w:rFonts w:asciiTheme="minorHAnsi" w:eastAsia="Calibri" w:hAnsiTheme="minorHAnsi" w:cstheme="minorHAnsi"/>
                <w:b/>
                <w:u w:val="single"/>
                <w:lang w:val="fr-FR"/>
              </w:rPr>
            </w:pPr>
            <w:r w:rsidRPr="00667CA4">
              <w:rPr>
                <w:rFonts w:asciiTheme="minorHAnsi" w:eastAsia="Calibri" w:hAnsiTheme="minorHAnsi" w:cstheme="minorHAnsi"/>
                <w:b/>
                <w:u w:val="single"/>
              </w:rPr>
              <w:t xml:space="preserve">Pays : </w:t>
            </w:r>
            <w:r>
              <w:rPr>
                <w:rFonts w:asciiTheme="minorHAnsi" w:eastAsia="Calibri" w:hAnsiTheme="minorHAnsi" w:cstheme="minorHAnsi"/>
                <w:b/>
                <w:u w:val="single"/>
              </w:rPr>
              <w:t>Burkina Faso</w:t>
            </w:r>
          </w:p>
          <w:p w:rsidR="00DA5EAD" w:rsidRDefault="00DA5EAD" w:rsidP="00706FDD">
            <w:pPr>
              <w:pStyle w:val="Titre3"/>
              <w:shd w:val="clear" w:color="auto" w:fill="FFFFFF"/>
              <w:spacing w:before="300" w:after="150"/>
              <w:ind w:left="148"/>
              <w:jc w:val="center"/>
              <w:rPr>
                <w:rFonts w:asciiTheme="minorHAnsi" w:eastAsia="Calibri" w:hAnsiTheme="minorHAnsi" w:cstheme="minorHAnsi"/>
                <w:b/>
                <w:color w:val="auto"/>
              </w:rPr>
            </w:pPr>
            <w:r w:rsidRPr="0066177D">
              <w:rPr>
                <w:rFonts w:asciiTheme="minorHAnsi" w:eastAsia="Calibri" w:hAnsiTheme="minorHAnsi" w:cstheme="minorHAnsi"/>
                <w:b/>
                <w:color w:val="auto"/>
              </w:rPr>
              <w:t>Partenaire de mise en œuvre :</w:t>
            </w:r>
          </w:p>
          <w:p w:rsidR="00DA5EAD" w:rsidRPr="00DA5EAD" w:rsidRDefault="00DA5EAD" w:rsidP="00DA5EAD">
            <w:pPr>
              <w:pStyle w:val="Titre3"/>
              <w:shd w:val="clear" w:color="auto" w:fill="FFFFFF"/>
              <w:spacing w:before="300" w:after="150"/>
              <w:ind w:left="148"/>
              <w:jc w:val="center"/>
              <w:rPr>
                <w:rFonts w:asciiTheme="minorHAnsi" w:eastAsia="Times New Roman" w:hAnsiTheme="minorHAnsi" w:cstheme="minorHAnsi"/>
                <w:caps/>
                <w:color w:val="auto"/>
                <w:sz w:val="36"/>
                <w:szCs w:val="36"/>
                <w:lang w:eastAsia="en-CA" w:bidi="ar-SA"/>
              </w:rPr>
            </w:pPr>
            <w:r w:rsidRPr="0003707C">
              <w:rPr>
                <w:rFonts w:asciiTheme="minorHAnsi" w:eastAsia="Calibri" w:hAnsiTheme="minorHAnsi" w:cstheme="minorHAnsi"/>
                <w:b/>
                <w:bCs/>
                <w:color w:val="auto"/>
                <w:lang w:val="fr-FR"/>
              </w:rPr>
              <w:t>Chambre de Commerce et d'Industrie du Burkina Faso</w:t>
            </w:r>
            <w:r>
              <w:rPr>
                <w:rFonts w:asciiTheme="minorHAnsi" w:eastAsia="Calibri" w:hAnsiTheme="minorHAnsi" w:cstheme="minorHAnsi"/>
                <w:b/>
                <w:bCs/>
                <w:color w:val="auto"/>
                <w:lang w:val="fr-FR"/>
              </w:rPr>
              <w:t xml:space="preserve"> (CCI-BF)</w:t>
            </w:r>
          </w:p>
        </w:tc>
      </w:tr>
    </w:tbl>
    <w:p w:rsidR="00DA5EAD" w:rsidRPr="0066177D" w:rsidRDefault="00DA5EAD" w:rsidP="00DA5EAD">
      <w:pPr>
        <w:pStyle w:val="Corpsdetexte"/>
        <w:spacing w:before="9"/>
        <w:jc w:val="both"/>
        <w:rPr>
          <w:rFonts w:asciiTheme="minorHAnsi" w:hAnsiTheme="minorHAnsi" w:cstheme="minorHAnsi"/>
          <w:b/>
          <w:sz w:val="22"/>
          <w:szCs w:val="22"/>
        </w:rPr>
      </w:pPr>
    </w:p>
    <w:p w:rsidR="00DA5EAD" w:rsidRPr="0066177D" w:rsidRDefault="00DA5EAD" w:rsidP="00DA5EAD">
      <w:pPr>
        <w:pStyle w:val="Corpsdetexte"/>
        <w:spacing w:before="9"/>
        <w:jc w:val="both"/>
        <w:rPr>
          <w:rFonts w:asciiTheme="minorHAnsi" w:hAnsiTheme="minorHAnsi" w:cstheme="minorHAnsi"/>
          <w:b/>
          <w:sz w:val="22"/>
          <w:szCs w:val="22"/>
        </w:rPr>
      </w:pPr>
    </w:p>
    <w:p w:rsidR="00DA5EAD" w:rsidRPr="00B3436B" w:rsidRDefault="00DA5EAD" w:rsidP="00DA5EAD">
      <w:pPr>
        <w:pStyle w:val="Titre3"/>
        <w:numPr>
          <w:ilvl w:val="0"/>
          <w:numId w:val="1"/>
        </w:numPr>
        <w:jc w:val="both"/>
        <w:rPr>
          <w:rFonts w:asciiTheme="minorHAnsi" w:hAnsiTheme="minorHAnsi" w:cstheme="minorHAnsi"/>
          <w:b/>
          <w:sz w:val="22"/>
          <w:szCs w:val="22"/>
        </w:rPr>
      </w:pPr>
      <w:bookmarkStart w:id="0" w:name="_bookmark16"/>
      <w:bookmarkEnd w:id="0"/>
      <w:r w:rsidRPr="00B3436B">
        <w:rPr>
          <w:rFonts w:asciiTheme="minorHAnsi" w:hAnsiTheme="minorHAnsi" w:cstheme="minorHAnsi"/>
          <w:b/>
          <w:sz w:val="22"/>
          <w:szCs w:val="22"/>
        </w:rPr>
        <w:t>Sommaire du Projet</w:t>
      </w:r>
    </w:p>
    <w:p w:rsidR="00DA5EAD" w:rsidRDefault="00DA5EAD" w:rsidP="00DA5EAD">
      <w:pPr>
        <w:tabs>
          <w:tab w:val="left" w:pos="1776"/>
          <w:tab w:val="left" w:pos="1777"/>
        </w:tabs>
        <w:spacing w:before="115"/>
        <w:jc w:val="both"/>
        <w:rPr>
          <w:rFonts w:asciiTheme="minorHAnsi" w:hAnsiTheme="minorHAnsi" w:cstheme="minorHAnsi"/>
        </w:rPr>
      </w:pPr>
      <w:r w:rsidRPr="0066177D">
        <w:rPr>
          <w:rFonts w:asciiTheme="minorHAnsi" w:hAnsiTheme="minorHAnsi" w:cstheme="minorHAnsi"/>
          <w:b/>
          <w:bCs/>
        </w:rPr>
        <w:t>« Les femmes dans le commerce pour une croissance inclusive et durable (FCCID) »</w:t>
      </w:r>
      <w:r w:rsidRPr="0066177D">
        <w:rPr>
          <w:rFonts w:asciiTheme="minorHAnsi" w:hAnsiTheme="minorHAnsi" w:cstheme="minorHAnsi"/>
        </w:rPr>
        <w:t xml:space="preserve"> est un projet d’une durée de 5 ans (2019 - 2024) financé par Affaires Mondiales Canada (à 78%) avec des contributions en espèces et en nature de TFO Canada (à 22%). Le projet est mis en œuvre dans 24 pays, y compris </w:t>
      </w:r>
      <w:r>
        <w:rPr>
          <w:rFonts w:asciiTheme="minorHAnsi" w:hAnsiTheme="minorHAnsi" w:cstheme="minorHAnsi"/>
        </w:rPr>
        <w:t xml:space="preserve">le </w:t>
      </w:r>
      <w:r>
        <w:rPr>
          <w:rFonts w:ascii="Book Antiqua" w:hAnsi="Book Antiqua" w:cs="MS Shell Dlg"/>
          <w:sz w:val="20"/>
          <w:szCs w:val="20"/>
        </w:rPr>
        <w:t>Burkina Faso</w:t>
      </w:r>
      <w:r w:rsidRPr="0066177D">
        <w:rPr>
          <w:rFonts w:asciiTheme="minorHAnsi" w:hAnsiTheme="minorHAnsi" w:cstheme="minorHAnsi"/>
        </w:rPr>
        <w:t>. Le projet contribuera à une croissance inclusive en promouvant la participation de plus de femmes dans le commerce international, particulièrement en augmentant la part des exportations génér</w:t>
      </w:r>
      <w:r>
        <w:rPr>
          <w:rFonts w:asciiTheme="minorHAnsi" w:hAnsiTheme="minorHAnsi" w:cstheme="minorHAnsi"/>
        </w:rPr>
        <w:t>ées par</w:t>
      </w:r>
      <w:r w:rsidRPr="0066177D">
        <w:rPr>
          <w:rFonts w:asciiTheme="minorHAnsi" w:hAnsiTheme="minorHAnsi" w:cstheme="minorHAnsi"/>
        </w:rPr>
        <w:t xml:space="preserve"> les petites et moyennes entreprises (PME) </w:t>
      </w:r>
      <w:r>
        <w:rPr>
          <w:rFonts w:asciiTheme="minorHAnsi" w:hAnsiTheme="minorHAnsi" w:cstheme="minorHAnsi"/>
        </w:rPr>
        <w:t>dirigées par des femmes</w:t>
      </w:r>
      <w:r w:rsidRPr="0066177D">
        <w:rPr>
          <w:rFonts w:asciiTheme="minorHAnsi" w:hAnsiTheme="minorHAnsi" w:cstheme="minorHAnsi"/>
        </w:rPr>
        <w:t>.</w:t>
      </w:r>
      <w:r>
        <w:rPr>
          <w:rFonts w:asciiTheme="minorHAnsi" w:hAnsiTheme="minorHAnsi" w:cstheme="minorHAnsi"/>
        </w:rPr>
        <w:t xml:space="preserve"> Au </w:t>
      </w:r>
      <w:r>
        <w:rPr>
          <w:rFonts w:ascii="Book Antiqua" w:hAnsi="Book Antiqua" w:cs="MS Shell Dlg"/>
          <w:sz w:val="20"/>
          <w:szCs w:val="20"/>
        </w:rPr>
        <w:t>Burkina Faso</w:t>
      </w:r>
      <w:r w:rsidRPr="0066177D">
        <w:rPr>
          <w:rFonts w:asciiTheme="minorHAnsi" w:hAnsiTheme="minorHAnsi" w:cstheme="minorHAnsi"/>
        </w:rPr>
        <w:t>, TFO Canada développera un partenariat avec une institution</w:t>
      </w:r>
      <w:r>
        <w:rPr>
          <w:rFonts w:asciiTheme="minorHAnsi" w:hAnsiTheme="minorHAnsi" w:cstheme="minorHAnsi"/>
        </w:rPr>
        <w:t xml:space="preserve"> </w:t>
      </w:r>
      <w:r w:rsidRPr="0066177D">
        <w:rPr>
          <w:rFonts w:asciiTheme="minorHAnsi" w:hAnsiTheme="minorHAnsi" w:cstheme="minorHAnsi"/>
        </w:rPr>
        <w:t>d'appui au commerce (IAC) ainsi qu’avec des acheteurs canadiens et étrangers. Le projet FCCID permettra de renforcer la capacité de</w:t>
      </w:r>
      <w:r>
        <w:rPr>
          <w:rFonts w:asciiTheme="minorHAnsi" w:hAnsiTheme="minorHAnsi" w:cstheme="minorHAnsi"/>
        </w:rPr>
        <w:t xml:space="preserve"> l’I</w:t>
      </w:r>
      <w:r w:rsidRPr="0066177D">
        <w:rPr>
          <w:rFonts w:asciiTheme="minorHAnsi" w:hAnsiTheme="minorHAnsi" w:cstheme="minorHAnsi"/>
        </w:rPr>
        <w:t>AC à engager davantage de femmes dans des postes de direction. Il améliorera aussi la capacité des PME dirigés par des femmes à comprendre et à satisfaire la demande des acheteurs canadiens et étrangers pour certains produits et services. Le projet se concentrera sur le</w:t>
      </w:r>
      <w:r>
        <w:rPr>
          <w:rFonts w:asciiTheme="minorHAnsi" w:hAnsiTheme="minorHAnsi" w:cstheme="minorHAnsi"/>
        </w:rPr>
        <w:t xml:space="preserve">s secteurs suivants : </w:t>
      </w:r>
    </w:p>
    <w:p w:rsidR="00DA5EAD" w:rsidRPr="00916D0C" w:rsidRDefault="00DA5EAD" w:rsidP="00DA5EAD">
      <w:pPr>
        <w:pStyle w:val="Paragraphedeliste"/>
        <w:numPr>
          <w:ilvl w:val="0"/>
          <w:numId w:val="5"/>
        </w:numPr>
        <w:tabs>
          <w:tab w:val="left" w:pos="1776"/>
          <w:tab w:val="left" w:pos="1777"/>
        </w:tabs>
        <w:spacing w:before="115"/>
        <w:jc w:val="both"/>
        <w:rPr>
          <w:rFonts w:asciiTheme="minorHAnsi" w:hAnsiTheme="minorHAnsi" w:cstheme="minorHAnsi"/>
        </w:rPr>
      </w:pPr>
      <w:r w:rsidRPr="00916D0C">
        <w:rPr>
          <w:rFonts w:asciiTheme="minorHAnsi" w:hAnsiTheme="minorHAnsi" w:cstheme="minorHAnsi"/>
        </w:rPr>
        <w:t>Agroalimentaire (</w:t>
      </w:r>
      <w:r>
        <w:rPr>
          <w:rFonts w:asciiTheme="minorHAnsi" w:hAnsiTheme="minorHAnsi" w:cstheme="minorHAnsi"/>
        </w:rPr>
        <w:t xml:space="preserve"> Beurre de Karité,</w:t>
      </w:r>
      <w:r w:rsidRPr="00916D0C">
        <w:rPr>
          <w:rFonts w:asciiTheme="minorHAnsi" w:hAnsiTheme="minorHAnsi" w:cstheme="minorHAnsi"/>
        </w:rPr>
        <w:t xml:space="preserve"> produits frais et transformés)</w:t>
      </w:r>
    </w:p>
    <w:p w:rsidR="00DA5EAD" w:rsidRPr="00402554" w:rsidRDefault="00DA5EAD" w:rsidP="00DA5EAD">
      <w:pPr>
        <w:pStyle w:val="Paragraphedeliste"/>
        <w:numPr>
          <w:ilvl w:val="0"/>
          <w:numId w:val="5"/>
        </w:numPr>
        <w:tabs>
          <w:tab w:val="left" w:pos="1776"/>
          <w:tab w:val="left" w:pos="1777"/>
        </w:tabs>
        <w:spacing w:before="115"/>
        <w:jc w:val="both"/>
        <w:rPr>
          <w:rFonts w:asciiTheme="minorHAnsi" w:hAnsiTheme="minorHAnsi" w:cstheme="minorHAnsi"/>
        </w:rPr>
      </w:pPr>
      <w:r w:rsidRPr="00402554">
        <w:rPr>
          <w:rFonts w:asciiTheme="minorHAnsi" w:hAnsiTheme="minorHAnsi" w:cstheme="minorHAnsi"/>
        </w:rPr>
        <w:t>Services (technologies de l’information et de la communication, etc.)</w:t>
      </w:r>
    </w:p>
    <w:p w:rsidR="00DA5EAD" w:rsidRPr="0066177D" w:rsidRDefault="00DA5EAD" w:rsidP="00DA5EAD"/>
    <w:p w:rsidR="00DA5EAD" w:rsidRPr="00F30A76" w:rsidRDefault="00DA5EAD" w:rsidP="00DA5EAD">
      <w:pPr>
        <w:pStyle w:val="Titre3"/>
        <w:numPr>
          <w:ilvl w:val="0"/>
          <w:numId w:val="1"/>
        </w:numPr>
        <w:jc w:val="both"/>
        <w:rPr>
          <w:rFonts w:asciiTheme="minorHAnsi" w:hAnsiTheme="minorHAnsi" w:cstheme="minorHAnsi"/>
          <w:b/>
          <w:sz w:val="22"/>
          <w:szCs w:val="22"/>
        </w:rPr>
      </w:pPr>
      <w:r w:rsidRPr="0066177D">
        <w:rPr>
          <w:rFonts w:asciiTheme="minorHAnsi" w:hAnsiTheme="minorHAnsi" w:cstheme="minorHAnsi"/>
        </w:rPr>
        <w:t>Activités et Résultats attendus</w:t>
      </w:r>
    </w:p>
    <w:p w:rsidR="00DA5EAD" w:rsidRPr="0066177D" w:rsidRDefault="00DA5EAD" w:rsidP="00DA5EAD">
      <w:pPr>
        <w:tabs>
          <w:tab w:val="left" w:pos="1776"/>
          <w:tab w:val="left" w:pos="1777"/>
        </w:tabs>
        <w:spacing w:before="115"/>
        <w:ind w:left="120"/>
        <w:jc w:val="both"/>
        <w:rPr>
          <w:rFonts w:asciiTheme="minorHAnsi" w:hAnsiTheme="minorHAnsi" w:cstheme="minorHAnsi"/>
        </w:rPr>
      </w:pPr>
      <w:r w:rsidRPr="0066177D">
        <w:rPr>
          <w:rFonts w:asciiTheme="minorHAnsi" w:hAnsiTheme="minorHAnsi" w:cstheme="minorHAnsi"/>
        </w:rPr>
        <w:t xml:space="preserve">Le résultat ultime du projet est </w:t>
      </w:r>
      <w:r w:rsidRPr="0066177D">
        <w:rPr>
          <w:rFonts w:asciiTheme="minorHAnsi" w:hAnsiTheme="minorHAnsi" w:cstheme="minorHAnsi"/>
          <w:b/>
          <w:bCs/>
          <w:i/>
          <w:iCs/>
        </w:rPr>
        <w:t>d’améliorer le bien-être économique des femmes et des hommes d</w:t>
      </w:r>
      <w:r>
        <w:rPr>
          <w:rFonts w:asciiTheme="minorHAnsi" w:hAnsiTheme="minorHAnsi" w:cstheme="minorHAnsi"/>
          <w:b/>
          <w:bCs/>
          <w:i/>
          <w:iCs/>
        </w:rPr>
        <w:t>u</w:t>
      </w:r>
      <w:r w:rsidRPr="0066177D">
        <w:rPr>
          <w:rFonts w:asciiTheme="minorHAnsi" w:hAnsiTheme="minorHAnsi" w:cstheme="minorHAnsi"/>
          <w:b/>
          <w:bCs/>
          <w:i/>
          <w:iCs/>
        </w:rPr>
        <w:t xml:space="preserve"> </w:t>
      </w:r>
      <w:r>
        <w:rPr>
          <w:rFonts w:asciiTheme="minorHAnsi" w:hAnsiTheme="minorHAnsi" w:cstheme="minorHAnsi"/>
          <w:b/>
          <w:bCs/>
          <w:i/>
          <w:iCs/>
        </w:rPr>
        <w:t>Burkina Faso</w:t>
      </w:r>
      <w:r w:rsidRPr="0066177D">
        <w:rPr>
          <w:rFonts w:asciiTheme="minorHAnsi" w:hAnsiTheme="minorHAnsi" w:cstheme="minorHAnsi"/>
        </w:rPr>
        <w:t>. Ceci sera fait à travers les résultats intermédiaires suivants :</w:t>
      </w:r>
    </w:p>
    <w:p w:rsidR="00DA5EAD" w:rsidRPr="0066177D" w:rsidRDefault="00DA5EAD" w:rsidP="00DA5EAD">
      <w:pPr>
        <w:pStyle w:val="Paragraphedeliste"/>
        <w:numPr>
          <w:ilvl w:val="0"/>
          <w:numId w:val="2"/>
        </w:numPr>
        <w:tabs>
          <w:tab w:val="left" w:pos="1776"/>
          <w:tab w:val="left" w:pos="1777"/>
        </w:tabs>
        <w:spacing w:before="115"/>
        <w:jc w:val="both"/>
        <w:rPr>
          <w:rFonts w:asciiTheme="minorHAnsi" w:hAnsiTheme="minorHAnsi" w:cstheme="minorHAnsi"/>
        </w:rPr>
      </w:pPr>
      <w:r w:rsidRPr="0066177D">
        <w:rPr>
          <w:rFonts w:asciiTheme="minorHAnsi" w:hAnsiTheme="minorHAnsi" w:cstheme="minorHAnsi"/>
        </w:rPr>
        <w:t>Résultat intermédiaire 1100 : Renforcement de la représentation et la participation des femmes dans les prises de décisions au sein des organismes de soutien au commerce (IAC).</w:t>
      </w:r>
    </w:p>
    <w:p w:rsidR="00DA5EAD" w:rsidRPr="0066177D" w:rsidRDefault="00DA5EAD" w:rsidP="00DA5EAD">
      <w:pPr>
        <w:pStyle w:val="Paragraphedeliste"/>
        <w:numPr>
          <w:ilvl w:val="0"/>
          <w:numId w:val="2"/>
        </w:numPr>
        <w:tabs>
          <w:tab w:val="left" w:pos="1776"/>
          <w:tab w:val="left" w:pos="1777"/>
        </w:tabs>
        <w:spacing w:before="115"/>
        <w:jc w:val="both"/>
        <w:rPr>
          <w:rFonts w:asciiTheme="minorHAnsi" w:hAnsiTheme="minorHAnsi" w:cstheme="minorHAnsi"/>
        </w:rPr>
      </w:pPr>
      <w:r w:rsidRPr="0066177D">
        <w:rPr>
          <w:rFonts w:asciiTheme="minorHAnsi" w:hAnsiTheme="minorHAnsi" w:cstheme="minorHAnsi"/>
        </w:rPr>
        <w:t>Résultat intermédiaire</w:t>
      </w:r>
      <w:r>
        <w:rPr>
          <w:rFonts w:asciiTheme="minorHAnsi" w:hAnsiTheme="minorHAnsi" w:cstheme="minorHAnsi"/>
        </w:rPr>
        <w:t xml:space="preserve"> </w:t>
      </w:r>
      <w:r w:rsidRPr="0066177D">
        <w:rPr>
          <w:rFonts w:asciiTheme="minorHAnsi" w:hAnsiTheme="minorHAnsi" w:cstheme="minorHAnsi"/>
        </w:rPr>
        <w:t>1200 Accès accru des PME dirigées par des femmes et dirigées par des hommes aux marchés canadiens et à d’autres marchés internationaux.</w:t>
      </w:r>
    </w:p>
    <w:p w:rsidR="00DA5EAD" w:rsidRPr="0066177D" w:rsidRDefault="00DA5EAD" w:rsidP="00DA5EAD">
      <w:pPr>
        <w:tabs>
          <w:tab w:val="left" w:pos="1776"/>
          <w:tab w:val="left" w:pos="1777"/>
        </w:tabs>
        <w:spacing w:before="115"/>
        <w:jc w:val="both"/>
        <w:rPr>
          <w:rFonts w:asciiTheme="minorHAnsi" w:hAnsiTheme="minorHAnsi" w:cstheme="minorHAnsi"/>
          <w:bCs/>
          <w:iCs/>
        </w:rPr>
      </w:pPr>
    </w:p>
    <w:p w:rsidR="00DA5EAD" w:rsidRPr="00B3436B" w:rsidRDefault="00DA5EAD" w:rsidP="00DA5EAD">
      <w:pPr>
        <w:pStyle w:val="Titre3"/>
        <w:numPr>
          <w:ilvl w:val="1"/>
          <w:numId w:val="1"/>
        </w:numPr>
        <w:jc w:val="both"/>
        <w:rPr>
          <w:rFonts w:asciiTheme="minorHAnsi" w:hAnsiTheme="minorHAnsi" w:cstheme="minorHAnsi"/>
          <w:b/>
          <w:sz w:val="22"/>
          <w:szCs w:val="22"/>
        </w:rPr>
      </w:pPr>
      <w:r w:rsidRPr="0066177D">
        <w:rPr>
          <w:rFonts w:asciiTheme="minorHAnsi" w:hAnsiTheme="minorHAnsi" w:cstheme="minorHAnsi"/>
          <w:b/>
          <w:sz w:val="22"/>
          <w:szCs w:val="22"/>
        </w:rPr>
        <w:t>Résultat intermédiaire 1100</w:t>
      </w:r>
    </w:p>
    <w:p w:rsidR="00DA5EAD" w:rsidRPr="0066177D" w:rsidRDefault="00DA5EAD" w:rsidP="00DA5EAD">
      <w:pPr>
        <w:tabs>
          <w:tab w:val="left" w:pos="1776"/>
          <w:tab w:val="left" w:pos="1777"/>
        </w:tabs>
        <w:spacing w:before="115"/>
        <w:jc w:val="both"/>
        <w:rPr>
          <w:rFonts w:asciiTheme="minorHAnsi" w:hAnsiTheme="minorHAnsi" w:cstheme="minorHAnsi"/>
          <w:bCs/>
          <w:iCs/>
        </w:rPr>
      </w:pPr>
      <w:r w:rsidRPr="0066177D">
        <w:rPr>
          <w:rFonts w:asciiTheme="minorHAnsi" w:hAnsiTheme="minorHAnsi" w:cstheme="minorHAnsi"/>
          <w:bCs/>
          <w:iCs/>
        </w:rPr>
        <w:t xml:space="preserve">Le renforcement de la représentation des femmes à la prise de décision dans les institutions d'appui au commerce (IAC) sera réalisée grâce aux résultats immédiats 1110 (Les IAC ont renforcé leur capacité à reconnaître la valeur des femmes dans les postes de direction, et à promouvoir des stratégies de </w:t>
      </w:r>
      <w:r w:rsidRPr="0066177D">
        <w:rPr>
          <w:rFonts w:asciiTheme="minorHAnsi" w:hAnsiTheme="minorHAnsi" w:cstheme="minorHAnsi"/>
          <w:bCs/>
          <w:iCs/>
        </w:rPr>
        <w:lastRenderedPageBreak/>
        <w:t>participation équitable, d'adhésion, et de mise en réseau pour les femmes et les PME dirigées par des femmes) et 1120 (Les IAC ont accru les compétences, les connaissances et les ressources pour fournir des services de préparation à l'exportation appropriés et sensibles au genre aux PME dirigées par des femmes et des hommes par les IAC)</w:t>
      </w:r>
      <w:r>
        <w:rPr>
          <w:rFonts w:asciiTheme="minorHAnsi" w:hAnsiTheme="minorHAnsi" w:cstheme="minorHAnsi"/>
          <w:bCs/>
          <w:iCs/>
        </w:rPr>
        <w:t>.</w:t>
      </w:r>
    </w:p>
    <w:p w:rsidR="00DA5EAD" w:rsidRPr="0066177D" w:rsidRDefault="00DA5EAD" w:rsidP="00DA5EAD">
      <w:pPr>
        <w:tabs>
          <w:tab w:val="left" w:pos="1776"/>
          <w:tab w:val="left" w:pos="1777"/>
        </w:tabs>
        <w:spacing w:before="115"/>
        <w:jc w:val="both"/>
        <w:rPr>
          <w:rFonts w:asciiTheme="minorHAnsi" w:hAnsiTheme="minorHAnsi" w:cstheme="minorHAnsi"/>
          <w:bCs/>
          <w:iCs/>
        </w:rPr>
      </w:pPr>
      <w:r w:rsidRPr="0066177D">
        <w:rPr>
          <w:rFonts w:asciiTheme="minorHAnsi" w:hAnsiTheme="minorHAnsi" w:cstheme="minorHAnsi"/>
          <w:bCs/>
          <w:iCs/>
        </w:rPr>
        <w:t>Afin d’obtenir ces résultats, le projet assume que les IAC utiliseront l'assistance technique qui leur est fournie pour créer/améliorer leur structure de gouvernance afin qu'elle soit inclusive (plus de femmes dans les rôles de direction/décisionnaires) et qu’elles mettront en places les ressources appropriées pour arriver à ces résultats (humaines, financières et autres) en mettant en œuvre des plans d'activités autonomes. Une fois les ressources appropriées en place, elles utiliseront le matériel de formation et les formateurs formés qui leur ont été fournis pour créer/améliorer et fournir des services d'accès au marché tenant compte des questions de genre et ciblant les PME dirigées/possédées par des femmes.</w:t>
      </w:r>
    </w:p>
    <w:p w:rsidR="00DA5EAD" w:rsidRPr="0066177D" w:rsidRDefault="00DA5EAD" w:rsidP="00DA5EAD">
      <w:pPr>
        <w:tabs>
          <w:tab w:val="left" w:pos="1776"/>
          <w:tab w:val="left" w:pos="1777"/>
        </w:tabs>
        <w:spacing w:before="115"/>
        <w:jc w:val="both"/>
        <w:rPr>
          <w:rFonts w:asciiTheme="minorHAnsi" w:hAnsiTheme="minorHAnsi" w:cstheme="minorHAnsi"/>
          <w:bCs/>
          <w:iCs/>
        </w:rPr>
      </w:pPr>
    </w:p>
    <w:p w:rsidR="00DA5EAD" w:rsidRPr="0066177D" w:rsidRDefault="00DA5EAD" w:rsidP="00DA5EAD">
      <w:pPr>
        <w:pStyle w:val="Titre3"/>
        <w:numPr>
          <w:ilvl w:val="1"/>
          <w:numId w:val="1"/>
        </w:numPr>
        <w:jc w:val="both"/>
        <w:rPr>
          <w:rFonts w:asciiTheme="minorHAnsi" w:hAnsiTheme="minorHAnsi" w:cstheme="minorHAnsi"/>
          <w:b/>
        </w:rPr>
      </w:pPr>
      <w:r w:rsidRPr="0066177D">
        <w:rPr>
          <w:rFonts w:asciiTheme="minorHAnsi" w:hAnsiTheme="minorHAnsi" w:cstheme="minorHAnsi"/>
          <w:b/>
          <w:sz w:val="22"/>
          <w:szCs w:val="22"/>
        </w:rPr>
        <w:t>Résultat Intermédiaire 1200</w:t>
      </w:r>
    </w:p>
    <w:p w:rsidR="00DA5EAD" w:rsidRPr="0066177D" w:rsidRDefault="00DA5EAD" w:rsidP="00DA5EAD">
      <w:pPr>
        <w:tabs>
          <w:tab w:val="left" w:pos="1776"/>
          <w:tab w:val="left" w:pos="1777"/>
        </w:tabs>
        <w:spacing w:before="115"/>
        <w:jc w:val="both"/>
        <w:rPr>
          <w:rFonts w:asciiTheme="minorHAnsi" w:hAnsiTheme="minorHAnsi" w:cstheme="minorHAnsi"/>
          <w:bCs/>
          <w:iCs/>
        </w:rPr>
      </w:pPr>
      <w:r w:rsidRPr="0066177D">
        <w:rPr>
          <w:rFonts w:asciiTheme="minorHAnsi" w:hAnsiTheme="minorHAnsi" w:cstheme="minorHAnsi"/>
          <w:bCs/>
          <w:iCs/>
        </w:rPr>
        <w:t>Les PME auront un accès accru aux marchés canadiens et aux autres marchés internationaux grâce à l’atteinte du résultat immédiat 1210 (Connaissance et information accrues sur la demande des consommateurs, le comportement des acheteurs, la réglementation, l'environnement et le changement climatique, les pratiques commerciales responsables et la fixation des prix au Canada et sur d'autres marchés internationaux) et 1220 (Amélioration de la capacité à identifier et à répondre aux demandes des marchés d'exportation canadiens et autres par les PME)</w:t>
      </w:r>
      <w:r>
        <w:rPr>
          <w:rFonts w:asciiTheme="minorHAnsi" w:hAnsiTheme="minorHAnsi" w:cstheme="minorHAnsi"/>
          <w:bCs/>
          <w:iCs/>
        </w:rPr>
        <w:t>.</w:t>
      </w:r>
    </w:p>
    <w:p w:rsidR="00DA5EAD" w:rsidRDefault="00DA5EAD" w:rsidP="00DA5EAD">
      <w:pPr>
        <w:tabs>
          <w:tab w:val="left" w:pos="1776"/>
          <w:tab w:val="left" w:pos="1777"/>
        </w:tabs>
        <w:spacing w:before="115"/>
        <w:jc w:val="both"/>
        <w:rPr>
          <w:rFonts w:asciiTheme="minorHAnsi" w:hAnsiTheme="minorHAnsi" w:cstheme="minorHAnsi"/>
          <w:bCs/>
          <w:iCs/>
        </w:rPr>
      </w:pPr>
      <w:r>
        <w:rPr>
          <w:rFonts w:asciiTheme="minorHAnsi" w:hAnsiTheme="minorHAnsi" w:cstheme="minorHAnsi"/>
          <w:bCs/>
          <w:iCs/>
        </w:rPr>
        <w:t>Le projet assume que l</w:t>
      </w:r>
      <w:r w:rsidRPr="0066177D">
        <w:rPr>
          <w:rFonts w:asciiTheme="minorHAnsi" w:hAnsiTheme="minorHAnsi" w:cstheme="minorHAnsi"/>
          <w:bCs/>
          <w:iCs/>
        </w:rPr>
        <w:t>es PME dirigées par/appartenant à des femmes utiliseront la formation et l'assistance technique fournie par le projet (en collaboration avec les IAC) pour préparer des plans d'exportation (qui comprennent des stratégies détaillées en matière de produits, de prix, de promotion et de placement) et obtenir avec succès les ressources humaines, financières et autres nécessaires pour mettre en œuvre les plans d'exportation, ce qui comprendra la familiarisation avec le marché canadien et d'autres marchés étrangers (grâce à des visites de familiarisation avec le marché, la participation à des salons professionnels et des réunions interentreprises), l'adaptation de leurs produits et l'établissement de liens commerciaux avec les acheteurs.</w:t>
      </w:r>
    </w:p>
    <w:p w:rsidR="00DA5EAD" w:rsidRPr="0066177D" w:rsidRDefault="00DA5EAD" w:rsidP="00DA5EAD">
      <w:pPr>
        <w:tabs>
          <w:tab w:val="left" w:pos="1776"/>
          <w:tab w:val="left" w:pos="1777"/>
        </w:tabs>
        <w:spacing w:before="115"/>
        <w:jc w:val="both"/>
        <w:rPr>
          <w:rFonts w:asciiTheme="minorHAnsi" w:hAnsiTheme="minorHAnsi" w:cstheme="minorHAnsi"/>
          <w:bCs/>
          <w:iCs/>
        </w:rPr>
      </w:pPr>
    </w:p>
    <w:p w:rsidR="00DA5EAD" w:rsidRPr="0066177D" w:rsidRDefault="00DA5EAD" w:rsidP="00DA5EAD">
      <w:pPr>
        <w:pStyle w:val="Titre3"/>
        <w:numPr>
          <w:ilvl w:val="0"/>
          <w:numId w:val="1"/>
        </w:numPr>
        <w:jc w:val="both"/>
      </w:pPr>
      <w:bookmarkStart w:id="1" w:name="_bookmark18"/>
      <w:bookmarkEnd w:id="1"/>
      <w:r w:rsidRPr="00462A46">
        <w:rPr>
          <w:rFonts w:asciiTheme="minorHAnsi" w:hAnsiTheme="minorHAnsi" w:cstheme="minorHAnsi"/>
          <w:b/>
          <w:sz w:val="22"/>
          <w:szCs w:val="22"/>
        </w:rPr>
        <w:t>Activités planifiées</w:t>
      </w:r>
    </w:p>
    <w:p w:rsidR="00DA5EAD" w:rsidRPr="00B3436B" w:rsidRDefault="00DA5EAD" w:rsidP="00DA5EAD"/>
    <w:p w:rsidR="00DA5EAD" w:rsidRPr="0066177D" w:rsidRDefault="00DA5EAD" w:rsidP="00DA5EAD">
      <w:pPr>
        <w:rPr>
          <w:rFonts w:asciiTheme="minorHAnsi" w:hAnsiTheme="minorHAnsi" w:cstheme="minorHAnsi"/>
        </w:rPr>
      </w:pPr>
      <w:r w:rsidRPr="0066177D">
        <w:rPr>
          <w:rFonts w:asciiTheme="minorHAnsi" w:hAnsiTheme="minorHAnsi" w:cstheme="minorHAnsi"/>
        </w:rPr>
        <w:t>Le</w:t>
      </w:r>
      <w:r>
        <w:rPr>
          <w:rFonts w:asciiTheme="minorHAnsi" w:hAnsiTheme="minorHAnsi" w:cstheme="minorHAnsi"/>
        </w:rPr>
        <w:t xml:space="preserve"> modèle logique présenté en annexe A1 présente les résultats intermédiaires, immédiats, ainsi que les extrants à réaliser.  Le</w:t>
      </w:r>
      <w:r w:rsidRPr="0066177D">
        <w:rPr>
          <w:rFonts w:asciiTheme="minorHAnsi" w:hAnsiTheme="minorHAnsi" w:cstheme="minorHAnsi"/>
        </w:rPr>
        <w:t xml:space="preserve"> projet travaillera avec la </w:t>
      </w:r>
      <w:r>
        <w:rPr>
          <w:rFonts w:ascii="Book Antiqua" w:hAnsi="Book Antiqua" w:cs="MS Shell Dlg"/>
          <w:sz w:val="20"/>
          <w:szCs w:val="20"/>
        </w:rPr>
        <w:t>CCI-BF</w:t>
      </w:r>
      <w:r w:rsidRPr="0066177D">
        <w:rPr>
          <w:rFonts w:asciiTheme="minorHAnsi" w:hAnsiTheme="minorHAnsi" w:cstheme="minorHAnsi"/>
        </w:rPr>
        <w:t xml:space="preserve"> et ses partenaires  pour fournir une formation sur l’intégration de la dimension liée  au genre et une assistance technique aux PME dirigées par / qui appartiennent à des femmes, ce qui comprendra du renforcement de capacités en compétences commerciales (réseautage, négociation, etc.), de la préparation et la mise en œuvre de plans d'exportation, le commerce électronique, la familiarisation avec le marché, participation à des missions et à des foires commerciales au Canada et sur d'autres marchés étrangers et mission commerciale d'acheteurs canadiens / étrangers en Afrique. Le calendrier de mise en œuvre du projet en annexe A2 présente un tableau des activités à mettre en œuvre</w:t>
      </w:r>
      <w:r>
        <w:rPr>
          <w:rFonts w:asciiTheme="minorHAnsi" w:hAnsiTheme="minorHAnsi" w:cstheme="minorHAnsi"/>
        </w:rPr>
        <w:t xml:space="preserve"> </w:t>
      </w:r>
      <w:r w:rsidRPr="0066177D">
        <w:rPr>
          <w:rFonts w:asciiTheme="minorHAnsi" w:hAnsiTheme="minorHAnsi" w:cstheme="minorHAnsi"/>
        </w:rPr>
        <w:t xml:space="preserve">tout au long du projet. Le tableau ci-dessous présente les activités qui impliqueront spécifiquement </w:t>
      </w:r>
      <w:r>
        <w:rPr>
          <w:rFonts w:asciiTheme="minorHAnsi" w:hAnsiTheme="minorHAnsi" w:cstheme="minorHAnsi"/>
        </w:rPr>
        <w:t xml:space="preserve">la </w:t>
      </w:r>
      <w:r>
        <w:rPr>
          <w:rFonts w:ascii="Book Antiqua" w:hAnsi="Book Antiqua" w:cs="MS Shell Dlg"/>
          <w:sz w:val="20"/>
          <w:szCs w:val="20"/>
        </w:rPr>
        <w:t>CCI-BF</w:t>
      </w:r>
      <w:r>
        <w:rPr>
          <w:rFonts w:asciiTheme="minorHAnsi" w:hAnsiTheme="minorHAnsi" w:cstheme="minorHAnsi"/>
        </w:rPr>
        <w:t xml:space="preserve"> et ses partenaires</w:t>
      </w:r>
      <w:r w:rsidRPr="0066177D">
        <w:rPr>
          <w:rFonts w:asciiTheme="minorHAnsi" w:hAnsiTheme="minorHAnsi" w:cstheme="minorHAnsi"/>
        </w:rPr>
        <w:t xml:space="preserve"> sélectionnées.  Les activités peuvent être révisées en fonction de</w:t>
      </w:r>
      <w:r>
        <w:rPr>
          <w:rFonts w:asciiTheme="minorHAnsi" w:hAnsiTheme="minorHAnsi" w:cstheme="minorHAnsi"/>
        </w:rPr>
        <w:t xml:space="preserve"> se</w:t>
      </w:r>
      <w:r w:rsidRPr="0066177D">
        <w:rPr>
          <w:rFonts w:asciiTheme="minorHAnsi" w:hAnsiTheme="minorHAnsi" w:cstheme="minorHAnsi"/>
        </w:rPr>
        <w:t>s besoins.</w:t>
      </w:r>
    </w:p>
    <w:p w:rsidR="00DA5EAD" w:rsidRDefault="00DA5EAD" w:rsidP="00DA5EAD">
      <w:pPr>
        <w:rPr>
          <w:rFonts w:asciiTheme="minorHAnsi" w:hAnsiTheme="minorHAnsi" w:cstheme="minorHAnsi"/>
        </w:rPr>
      </w:pPr>
    </w:p>
    <w:p w:rsidR="00DA5EAD" w:rsidRDefault="00DA5EAD" w:rsidP="00DA5EAD">
      <w:pPr>
        <w:rPr>
          <w:rFonts w:asciiTheme="minorHAnsi" w:hAnsiTheme="minorHAnsi" w:cstheme="minorHAnsi"/>
        </w:rPr>
      </w:pPr>
    </w:p>
    <w:p w:rsidR="00DA5EAD" w:rsidRDefault="00DA5EAD" w:rsidP="00DA5EAD">
      <w:pPr>
        <w:rPr>
          <w:rFonts w:asciiTheme="minorHAnsi" w:hAnsiTheme="minorHAnsi" w:cstheme="minorHAnsi"/>
        </w:rPr>
      </w:pPr>
    </w:p>
    <w:p w:rsidR="00DA5EAD" w:rsidRPr="0066177D" w:rsidRDefault="00DA5EAD" w:rsidP="00DA5EAD">
      <w:pPr>
        <w:rPr>
          <w:rFonts w:asciiTheme="minorHAnsi" w:hAnsiTheme="minorHAnsi" w:cstheme="minorHAnsi"/>
        </w:rPr>
      </w:pPr>
    </w:p>
    <w:p w:rsidR="00DA5EAD" w:rsidRPr="0066177D" w:rsidRDefault="00DA5EAD" w:rsidP="00DA5EAD">
      <w:pPr>
        <w:rPr>
          <w:rFonts w:asciiTheme="minorHAnsi" w:hAnsiTheme="minorHAnsi" w:cstheme="minorHAnsi"/>
          <w:b/>
          <w:bCs/>
          <w:u w:val="single"/>
        </w:rPr>
      </w:pPr>
      <w:r w:rsidRPr="0066177D">
        <w:rPr>
          <w:rFonts w:asciiTheme="minorHAnsi" w:hAnsiTheme="minorHAnsi" w:cstheme="minorHAnsi"/>
          <w:b/>
          <w:bCs/>
          <w:u w:val="single"/>
        </w:rPr>
        <w:t xml:space="preserve">Activités prévues </w:t>
      </w:r>
      <w:r>
        <w:rPr>
          <w:rFonts w:asciiTheme="minorHAnsi" w:hAnsiTheme="minorHAnsi" w:cstheme="minorHAnsi"/>
          <w:b/>
          <w:bCs/>
          <w:u w:val="single"/>
        </w:rPr>
        <w:t xml:space="preserve">et résultats attendus </w:t>
      </w:r>
      <w:r w:rsidRPr="0066177D">
        <w:rPr>
          <w:rFonts w:asciiTheme="minorHAnsi" w:hAnsiTheme="minorHAnsi" w:cstheme="minorHAnsi"/>
          <w:b/>
          <w:bCs/>
          <w:u w:val="single"/>
        </w:rPr>
        <w:t>dans le cadre du projet :</w:t>
      </w:r>
    </w:p>
    <w:p w:rsidR="00DA5EAD" w:rsidRPr="0066177D" w:rsidRDefault="00DA5EAD" w:rsidP="00DA5EAD">
      <w:pPr>
        <w:rPr>
          <w:rFonts w:asciiTheme="minorHAnsi" w:hAnsiTheme="minorHAnsi" w:cstheme="minorHAnsi"/>
        </w:rPr>
      </w:pPr>
    </w:p>
    <w:tbl>
      <w:tblPr>
        <w:tblStyle w:val="Grilledutableau"/>
        <w:tblW w:w="9085" w:type="dxa"/>
        <w:tblLayout w:type="fixed"/>
        <w:tblLook w:val="04A0" w:firstRow="1" w:lastRow="0" w:firstColumn="1" w:lastColumn="0" w:noHBand="0" w:noVBand="1"/>
      </w:tblPr>
      <w:tblGrid>
        <w:gridCol w:w="4765"/>
        <w:gridCol w:w="4320"/>
      </w:tblGrid>
      <w:tr w:rsidR="00DA5EAD" w:rsidRPr="00B3436B" w:rsidTr="00706FDD">
        <w:trPr>
          <w:trHeight w:val="267"/>
        </w:trPr>
        <w:tc>
          <w:tcPr>
            <w:tcW w:w="4765" w:type="dxa"/>
            <w:tcBorders>
              <w:bottom w:val="single" w:sz="4" w:space="0" w:color="auto"/>
            </w:tcBorders>
            <w:shd w:val="clear" w:color="auto" w:fill="1F4E79" w:themeFill="accent1" w:themeFillShade="80"/>
          </w:tcPr>
          <w:p w:rsidR="00DA5EAD" w:rsidRPr="00B3436B" w:rsidRDefault="00DA5EAD" w:rsidP="00706FDD">
            <w:pPr>
              <w:rPr>
                <w:rFonts w:asciiTheme="minorHAnsi" w:hAnsiTheme="minorHAnsi" w:cstheme="minorHAnsi"/>
                <w:b/>
                <w:color w:val="FFFFFF" w:themeColor="background1"/>
                <w:sz w:val="28"/>
                <w:szCs w:val="28"/>
              </w:rPr>
            </w:pPr>
            <w:r w:rsidRPr="00B3436B">
              <w:rPr>
                <w:rFonts w:asciiTheme="minorHAnsi" w:hAnsiTheme="minorHAnsi" w:cstheme="minorHAnsi"/>
                <w:b/>
                <w:color w:val="FFFFFF" w:themeColor="background1"/>
                <w:sz w:val="28"/>
                <w:szCs w:val="28"/>
              </w:rPr>
              <w:t>Activités</w:t>
            </w:r>
          </w:p>
        </w:tc>
        <w:tc>
          <w:tcPr>
            <w:tcW w:w="4320" w:type="dxa"/>
            <w:tcBorders>
              <w:bottom w:val="single" w:sz="4" w:space="0" w:color="auto"/>
            </w:tcBorders>
            <w:shd w:val="clear" w:color="auto" w:fill="1F4E79" w:themeFill="accent1" w:themeFillShade="80"/>
          </w:tcPr>
          <w:p w:rsidR="00DA5EAD" w:rsidRPr="00B3436B" w:rsidRDefault="00DA5EAD" w:rsidP="00706FDD">
            <w:pPr>
              <w:tabs>
                <w:tab w:val="left" w:pos="411"/>
                <w:tab w:val="center" w:pos="2585"/>
              </w:tabs>
              <w:rPr>
                <w:rFonts w:asciiTheme="minorHAnsi" w:hAnsiTheme="minorHAnsi" w:cstheme="minorHAnsi"/>
                <w:b/>
                <w:color w:val="FFFFFF" w:themeColor="background1"/>
                <w:sz w:val="28"/>
                <w:szCs w:val="28"/>
              </w:rPr>
            </w:pPr>
            <w:r w:rsidRPr="00B3436B">
              <w:rPr>
                <w:rFonts w:asciiTheme="minorHAnsi" w:hAnsiTheme="minorHAnsi" w:cstheme="minorHAnsi"/>
                <w:b/>
                <w:color w:val="FFFFFF" w:themeColor="background1"/>
                <w:sz w:val="28"/>
                <w:szCs w:val="28"/>
              </w:rPr>
              <w:t>Résultats attendus</w:t>
            </w:r>
          </w:p>
        </w:tc>
      </w:tr>
      <w:tr w:rsidR="00DA5EAD" w:rsidRPr="00B3436B" w:rsidTr="00706FDD">
        <w:trPr>
          <w:trHeight w:val="2071"/>
        </w:trPr>
        <w:tc>
          <w:tcPr>
            <w:tcW w:w="4765" w:type="dxa"/>
            <w:tcBorders>
              <w:top w:val="single" w:sz="4" w:space="0" w:color="auto"/>
              <w:left w:val="single" w:sz="4" w:space="0" w:color="auto"/>
            </w:tcBorders>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1111</w:t>
            </w:r>
            <w:r w:rsidRPr="00B3436B">
              <w:rPr>
                <w:rFonts w:asciiTheme="minorHAnsi" w:hAnsiTheme="minorHAnsi" w:cstheme="minorHAnsi"/>
                <w:bCs/>
                <w:color w:val="000000" w:themeColor="text1"/>
                <w:sz w:val="20"/>
                <w:szCs w:val="20"/>
              </w:rPr>
              <w:t xml:space="preserve"> : Formation et assistance technique sur la gouvernance et les structures de responsabilité inclusive favorisant le leadership des femmes pour les institutions partenaires de mise en œuvre du projet. </w:t>
            </w:r>
          </w:p>
        </w:tc>
        <w:tc>
          <w:tcPr>
            <w:tcW w:w="4320" w:type="dxa"/>
            <w:vMerge w:val="restart"/>
            <w:tcBorders>
              <w:top w:val="single" w:sz="4" w:space="0" w:color="auto"/>
            </w:tcBorders>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-Les partenaires chargés de la mise en œuvre élaboreront des politiques et des procédures nouvelles (ou améliorées) de gouvernance et de responsabilité inclusives qui favorisent le leadership des femmes</w:t>
            </w:r>
          </w:p>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-ceux-ci seront approuvés par le conseil d’administration</w:t>
            </w:r>
          </w:p>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-Ces mesures permettront d'améliorer la représentation des femmes aux postes de direction des IAC</w:t>
            </w:r>
          </w:p>
        </w:tc>
      </w:tr>
      <w:tr w:rsidR="00DA5EAD" w:rsidRPr="00B3436B" w:rsidTr="00706FDD">
        <w:trPr>
          <w:trHeight w:val="395"/>
        </w:trPr>
        <w:tc>
          <w:tcPr>
            <w:tcW w:w="4765" w:type="dxa"/>
            <w:tcBorders>
              <w:left w:val="single" w:sz="4" w:space="0" w:color="auto"/>
              <w:bottom w:val="single" w:sz="4" w:space="0" w:color="auto"/>
            </w:tcBorders>
            <w:shd w:val="clear" w:color="auto" w:fill="DEEAF6" w:themeFill="accent1" w:themeFillTint="33"/>
          </w:tcPr>
          <w:p w:rsidR="00DA5EAD" w:rsidRPr="00B3436B" w:rsidRDefault="00DA5EAD" w:rsidP="00706FDD">
            <w:pPr>
              <w:rPr>
                <w:rFonts w:asciiTheme="minorHAnsi" w:hAnsiTheme="minorHAnsi" w:cstheme="minorHAnsi"/>
                <w:b/>
                <w:sz w:val="20"/>
                <w:szCs w:val="20"/>
              </w:rPr>
            </w:pPr>
            <w:r w:rsidRPr="00B3436B">
              <w:rPr>
                <w:rFonts w:asciiTheme="minorHAnsi" w:hAnsiTheme="minorHAnsi" w:cstheme="minorHAnsi"/>
                <w:b/>
                <w:sz w:val="20"/>
                <w:szCs w:val="20"/>
              </w:rPr>
              <w:t>Calendrier prévu : 202</w:t>
            </w:r>
            <w:r>
              <w:rPr>
                <w:rFonts w:asciiTheme="minorHAnsi" w:hAnsiTheme="minorHAnsi" w:cstheme="minorHAnsi"/>
                <w:b/>
                <w:sz w:val="20"/>
                <w:szCs w:val="20"/>
              </w:rPr>
              <w:t>1</w:t>
            </w:r>
            <w:r w:rsidRPr="00B3436B">
              <w:rPr>
                <w:rFonts w:asciiTheme="minorHAnsi" w:hAnsiTheme="minorHAnsi" w:cstheme="minorHAnsi"/>
                <w:b/>
                <w:sz w:val="20"/>
                <w:szCs w:val="20"/>
              </w:rPr>
              <w:t>/2023</w:t>
            </w:r>
          </w:p>
          <w:p w:rsidR="00DA5EAD" w:rsidRPr="00B3436B" w:rsidRDefault="00DA5EAD" w:rsidP="00706FDD">
            <w:pPr>
              <w:rPr>
                <w:rFonts w:asciiTheme="minorHAnsi" w:hAnsiTheme="minorHAnsi" w:cstheme="minorHAnsi"/>
                <w:b/>
                <w:sz w:val="20"/>
                <w:szCs w:val="20"/>
              </w:rPr>
            </w:pPr>
          </w:p>
          <w:p w:rsidR="00DA5EAD" w:rsidRPr="0066177D" w:rsidRDefault="00DA5EAD" w:rsidP="00706FDD">
            <w:pPr>
              <w:rPr>
                <w:rFonts w:asciiTheme="minorHAnsi" w:hAnsiTheme="minorHAnsi" w:cstheme="minorHAnsi"/>
                <w:bCs/>
                <w:color w:val="000000" w:themeColor="text1"/>
                <w:sz w:val="20"/>
                <w:szCs w:val="20"/>
              </w:rPr>
            </w:pPr>
            <w:r w:rsidRPr="0066177D">
              <w:rPr>
                <w:rFonts w:asciiTheme="minorHAnsi" w:hAnsiTheme="minorHAnsi" w:cstheme="minorHAnsi"/>
                <w:b/>
                <w:sz w:val="20"/>
                <w:szCs w:val="20"/>
              </w:rPr>
              <w:t xml:space="preserve">Responsabilité : TFO Canada, </w:t>
            </w:r>
            <w:r>
              <w:rPr>
                <w:rFonts w:ascii="Book Antiqua" w:hAnsi="Book Antiqua" w:cs="MS Shell Dlg"/>
                <w:sz w:val="20"/>
                <w:szCs w:val="20"/>
              </w:rPr>
              <w:t>CCI-BF</w:t>
            </w:r>
            <w:r w:rsidRPr="0066177D" w:rsidDel="005B1688">
              <w:rPr>
                <w:rFonts w:asciiTheme="minorHAnsi" w:hAnsiTheme="minorHAnsi" w:cstheme="minorHAnsi"/>
                <w:b/>
                <w:sz w:val="20"/>
                <w:szCs w:val="20"/>
              </w:rPr>
              <w:t xml:space="preserve"> </w:t>
            </w:r>
            <w:r w:rsidRPr="0066177D">
              <w:rPr>
                <w:rFonts w:asciiTheme="minorHAnsi" w:hAnsiTheme="minorHAnsi" w:cstheme="minorHAnsi"/>
                <w:b/>
                <w:sz w:val="20"/>
                <w:szCs w:val="20"/>
              </w:rPr>
              <w:t xml:space="preserve">, Partenaires </w:t>
            </w:r>
            <w:r>
              <w:rPr>
                <w:rFonts w:ascii="Book Antiqua" w:hAnsi="Book Antiqua" w:cs="MS Shell Dlg"/>
                <w:sz w:val="20"/>
                <w:szCs w:val="20"/>
              </w:rPr>
              <w:t>CCI-BF</w:t>
            </w:r>
            <w:r w:rsidRPr="0066177D" w:rsidDel="005B1688">
              <w:rPr>
                <w:rFonts w:asciiTheme="minorHAnsi" w:hAnsiTheme="minorHAnsi" w:cstheme="minorHAnsi"/>
                <w:b/>
                <w:sz w:val="20"/>
                <w:szCs w:val="20"/>
              </w:rPr>
              <w:t xml:space="preserve"> </w:t>
            </w:r>
          </w:p>
        </w:tc>
        <w:tc>
          <w:tcPr>
            <w:tcW w:w="4320" w:type="dxa"/>
            <w:vMerge/>
            <w:tcBorders>
              <w:bottom w:val="single" w:sz="4" w:space="0" w:color="auto"/>
            </w:tcBorders>
          </w:tcPr>
          <w:p w:rsidR="00DA5EAD" w:rsidRPr="0066177D" w:rsidRDefault="00DA5EAD" w:rsidP="00706FDD">
            <w:pPr>
              <w:rPr>
                <w:rFonts w:asciiTheme="minorHAnsi" w:hAnsiTheme="minorHAnsi" w:cstheme="minorHAnsi"/>
                <w:bCs/>
                <w:color w:val="000000" w:themeColor="text1"/>
                <w:sz w:val="20"/>
                <w:szCs w:val="20"/>
              </w:rPr>
            </w:pPr>
          </w:p>
        </w:tc>
      </w:tr>
      <w:tr w:rsidR="00DA5EAD" w:rsidRPr="00B3436B" w:rsidTr="00706FDD">
        <w:trPr>
          <w:trHeight w:val="2177"/>
        </w:trPr>
        <w:tc>
          <w:tcPr>
            <w:tcW w:w="4765" w:type="dxa"/>
            <w:tcBorders>
              <w:top w:val="single" w:sz="4" w:space="0" w:color="auto"/>
              <w:bottom w:val="single" w:sz="4" w:space="0" w:color="auto"/>
            </w:tcBorders>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1121</w:t>
            </w:r>
            <w:r w:rsidRPr="00B3436B">
              <w:rPr>
                <w:rFonts w:asciiTheme="minorHAnsi" w:hAnsiTheme="minorHAnsi" w:cstheme="minorHAnsi"/>
                <w:bCs/>
                <w:color w:val="000000" w:themeColor="text1"/>
                <w:sz w:val="20"/>
                <w:szCs w:val="20"/>
              </w:rPr>
              <w:t> : Ateliers de renforcement des capacités organisés pour les IAC et les représentants commerciaux des ambassades en matière d’exportation au Canada, y compris des informations sur la demande des consommateurs canadiens, les acheteurs canadiens, la réglementation canadienne, la capacité d’exportation, le financement, l’environnement et le changement climatique, les pratiques commerciales responsables, etc.</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tcBorders>
              <w:top w:val="single" w:sz="4" w:space="0" w:color="auto"/>
            </w:tcBorders>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 xml:space="preserve">Les IAC et représentants commerciaux de l’ambassade auront une meilleure connaissance des rouages, défis et procédés pour exporter vers le Canada.  L’implication des ambassades permettra de faciliter le réseautage pour les PME désireuses d’exporter.  La formation des formateurs permettra aux participants de mieux comprendre le marché canadien, et de mieux préparer les PME sélectionnées aux formations (extrant 1211).  </w:t>
            </w:r>
          </w:p>
        </w:tc>
      </w:tr>
      <w:tr w:rsidR="00DA5EAD" w:rsidRPr="00B3436B" w:rsidTr="00706FDD">
        <w:trPr>
          <w:trHeight w:val="512"/>
        </w:trPr>
        <w:tc>
          <w:tcPr>
            <w:tcW w:w="4765" w:type="dxa"/>
            <w:tcBorders>
              <w:bottom w:val="single" w:sz="4" w:space="0" w:color="auto"/>
            </w:tcBorders>
            <w:shd w:val="clear" w:color="auto" w:fill="FFFFFF" w:themeFill="background1"/>
          </w:tcPr>
          <w:p w:rsidR="00DA5EAD" w:rsidRPr="00B3436B" w:rsidRDefault="00DA5EAD" w:rsidP="00706FDD">
            <w:pPr>
              <w:shd w:val="clear" w:color="auto" w:fill="FFFFFF" w:themeFill="background1"/>
              <w:rPr>
                <w:rFonts w:asciiTheme="minorHAnsi" w:hAnsiTheme="minorHAnsi" w:cstheme="minorHAnsi"/>
                <w:b/>
                <w:sz w:val="20"/>
                <w:szCs w:val="20"/>
              </w:rPr>
            </w:pPr>
            <w:r w:rsidRPr="00B3436B">
              <w:rPr>
                <w:rFonts w:asciiTheme="minorHAnsi" w:hAnsiTheme="minorHAnsi" w:cstheme="minorHAnsi"/>
                <w:b/>
                <w:sz w:val="20"/>
                <w:szCs w:val="20"/>
              </w:rPr>
              <w:t xml:space="preserve">Calendrier prévu : </w:t>
            </w:r>
            <w:r>
              <w:rPr>
                <w:rFonts w:asciiTheme="minorHAnsi" w:hAnsiTheme="minorHAnsi" w:cstheme="minorHAnsi"/>
                <w:b/>
                <w:sz w:val="20"/>
                <w:szCs w:val="20"/>
              </w:rPr>
              <w:t>2021/2022</w:t>
            </w:r>
          </w:p>
          <w:p w:rsidR="00DA5EAD" w:rsidRPr="00B3436B" w:rsidRDefault="00DA5EAD" w:rsidP="00706FDD">
            <w:pPr>
              <w:shd w:val="clear" w:color="auto" w:fill="FFFFFF" w:themeFill="background1"/>
              <w:rPr>
                <w:rFonts w:asciiTheme="minorHAnsi" w:hAnsiTheme="minorHAnsi" w:cstheme="minorHAnsi"/>
                <w:b/>
                <w:sz w:val="20"/>
                <w:szCs w:val="20"/>
              </w:rPr>
            </w:pPr>
            <w:r w:rsidRPr="0066177D">
              <w:rPr>
                <w:rFonts w:asciiTheme="minorHAnsi" w:hAnsiTheme="minorHAnsi" w:cstheme="minorHAnsi"/>
                <w:b/>
                <w:sz w:val="20"/>
                <w:szCs w:val="20"/>
              </w:rPr>
              <w:t xml:space="preserve">Responsabilité : TFO Canada, </w:t>
            </w:r>
            <w:r>
              <w:rPr>
                <w:rFonts w:ascii="Book Antiqua" w:hAnsi="Book Antiqua" w:cs="MS Shell Dlg"/>
                <w:sz w:val="20"/>
                <w:szCs w:val="20"/>
              </w:rPr>
              <w:t>CCI-BF</w:t>
            </w:r>
            <w:r w:rsidRPr="0066177D" w:rsidDel="005B1688">
              <w:rPr>
                <w:rFonts w:asciiTheme="minorHAnsi" w:hAnsiTheme="minorHAnsi" w:cstheme="minorHAnsi"/>
                <w:b/>
                <w:sz w:val="20"/>
                <w:szCs w:val="20"/>
              </w:rPr>
              <w:t xml:space="preserve"> </w:t>
            </w:r>
            <w:r w:rsidRPr="0066177D">
              <w:rPr>
                <w:rFonts w:asciiTheme="minorHAnsi" w:hAnsiTheme="minorHAnsi" w:cstheme="minorHAnsi"/>
                <w:b/>
                <w:sz w:val="20"/>
                <w:szCs w:val="20"/>
              </w:rPr>
              <w:t xml:space="preserve">, Partenaires </w:t>
            </w:r>
            <w:r>
              <w:rPr>
                <w:rFonts w:ascii="Book Antiqua" w:hAnsi="Book Antiqua" w:cs="MS Shell Dlg"/>
                <w:sz w:val="20"/>
                <w:szCs w:val="20"/>
              </w:rPr>
              <w:t>CCI-BF</w:t>
            </w:r>
            <w:r w:rsidRPr="0066177D" w:rsidDel="005B1688">
              <w:rPr>
                <w:rFonts w:asciiTheme="minorHAnsi" w:hAnsiTheme="minorHAnsi" w:cstheme="minorHAnsi"/>
                <w:b/>
                <w:sz w:val="20"/>
                <w:szCs w:val="20"/>
              </w:rPr>
              <w:t xml:space="preserve"> </w:t>
            </w: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2177"/>
        </w:trPr>
        <w:tc>
          <w:tcPr>
            <w:tcW w:w="4765" w:type="dxa"/>
            <w:tcBorders>
              <w:top w:val="single" w:sz="4" w:space="0" w:color="auto"/>
            </w:tcBorders>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1122</w:t>
            </w:r>
            <w:r w:rsidRPr="00B3436B">
              <w:rPr>
                <w:rFonts w:asciiTheme="minorHAnsi" w:hAnsiTheme="minorHAnsi" w:cstheme="minorHAnsi"/>
                <w:bCs/>
                <w:color w:val="000000" w:themeColor="text1"/>
                <w:sz w:val="20"/>
                <w:szCs w:val="20"/>
              </w:rPr>
              <w:t> : Développement, mise en œuvre et diffusion d’une étude de marché local portant sur les produits, services et secteurs qui créent les plus grandes possibilités d’emploi pour les femmes (incluant le commerce biologique et équitable).</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shd w:val="clear" w:color="auto" w:fill="DEEAF6" w:themeFill="accent1" w:themeFillTint="33"/>
          </w:tcPr>
          <w:p w:rsidR="00DA5EAD" w:rsidRPr="00B3436B" w:rsidRDefault="00DA5EAD" w:rsidP="00706FDD">
            <w:pPr>
              <w:tabs>
                <w:tab w:val="left" w:pos="411"/>
                <w:tab w:val="center" w:pos="2585"/>
              </w:tabs>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TFO Canada, en collaboration avec les partenaires locaux, fera une étude de marché local sensible au genre.</w:t>
            </w:r>
          </w:p>
          <w:p w:rsidR="00DA5EAD" w:rsidRPr="00B3436B" w:rsidRDefault="00DA5EAD" w:rsidP="00706FDD">
            <w:pPr>
              <w:tabs>
                <w:tab w:val="left" w:pos="411"/>
                <w:tab w:val="center" w:pos="2585"/>
              </w:tabs>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Les partenaires se baseront sur les résultats de l’étude pour accompagner/sélectionner les PME dirigées par/ qui appartiennent à des femmes.</w:t>
            </w:r>
          </w:p>
          <w:p w:rsidR="00DA5EAD" w:rsidRPr="00B3436B" w:rsidRDefault="00DA5EAD" w:rsidP="00706FDD">
            <w:pPr>
              <w:tabs>
                <w:tab w:val="left" w:pos="411"/>
                <w:tab w:val="center" w:pos="2585"/>
              </w:tabs>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 xml:space="preserve">La </w:t>
            </w:r>
            <w:r>
              <w:rPr>
                <w:rFonts w:ascii="Book Antiqua" w:hAnsi="Book Antiqua" w:cs="MS Shell Dlg"/>
                <w:sz w:val="20"/>
                <w:szCs w:val="20"/>
              </w:rPr>
              <w:t>CCI-BF</w:t>
            </w:r>
            <w:r w:rsidRPr="00B3436B" w:rsidDel="005B1688">
              <w:rPr>
                <w:rFonts w:asciiTheme="minorHAnsi" w:hAnsiTheme="minorHAnsi" w:cstheme="minorHAnsi"/>
                <w:bCs/>
                <w:color w:val="000000" w:themeColor="text1"/>
                <w:sz w:val="20"/>
                <w:szCs w:val="20"/>
              </w:rPr>
              <w:t xml:space="preserve"> </w:t>
            </w:r>
            <w:r w:rsidRPr="00B3436B">
              <w:rPr>
                <w:rFonts w:asciiTheme="minorHAnsi" w:hAnsiTheme="minorHAnsi" w:cstheme="minorHAnsi"/>
                <w:bCs/>
                <w:color w:val="000000" w:themeColor="text1"/>
                <w:sz w:val="20"/>
                <w:szCs w:val="20"/>
              </w:rPr>
              <w:t>participera à une visite de familiarisation du marché au Canada ou d’autres marchés avec les PME sélectionnées</w:t>
            </w:r>
          </w:p>
          <w:p w:rsidR="00DA5EAD" w:rsidRPr="00B3436B" w:rsidRDefault="00DA5EAD" w:rsidP="00706FDD">
            <w:pPr>
              <w:tabs>
                <w:tab w:val="left" w:pos="411"/>
                <w:tab w:val="center" w:pos="2585"/>
              </w:tabs>
              <w:rPr>
                <w:rFonts w:asciiTheme="minorHAnsi" w:hAnsiTheme="minorHAnsi" w:cstheme="minorHAnsi"/>
                <w:bCs/>
                <w:color w:val="000000" w:themeColor="text1"/>
                <w:sz w:val="20"/>
                <w:szCs w:val="20"/>
              </w:rPr>
            </w:pPr>
          </w:p>
        </w:tc>
      </w:tr>
      <w:tr w:rsidR="00DA5EAD" w:rsidRPr="00B3436B" w:rsidTr="00706FDD">
        <w:trPr>
          <w:trHeight w:val="431"/>
        </w:trPr>
        <w:tc>
          <w:tcPr>
            <w:tcW w:w="4765" w:type="dxa"/>
            <w:tcBorders>
              <w:top w:val="single" w:sz="4" w:space="0" w:color="auto"/>
            </w:tcBorders>
            <w:shd w:val="clear" w:color="auto" w:fill="DEEAF6" w:themeFill="accent1" w:themeFillTint="33"/>
          </w:tcPr>
          <w:p w:rsidR="00DA5EAD" w:rsidRPr="00B3436B" w:rsidRDefault="00DA5EAD" w:rsidP="00706FDD">
            <w:pPr>
              <w:rPr>
                <w:rFonts w:asciiTheme="minorHAnsi" w:hAnsiTheme="minorHAnsi" w:cstheme="minorHAnsi"/>
                <w:b/>
                <w:color w:val="000000" w:themeColor="text1"/>
                <w:sz w:val="20"/>
                <w:szCs w:val="20"/>
              </w:rPr>
            </w:pPr>
            <w:r w:rsidRPr="00B3436B">
              <w:rPr>
                <w:rFonts w:asciiTheme="minorHAnsi" w:hAnsiTheme="minorHAnsi" w:cstheme="minorHAnsi"/>
                <w:b/>
                <w:sz w:val="20"/>
                <w:szCs w:val="20"/>
                <w:shd w:val="clear" w:color="auto" w:fill="DEEAF6" w:themeFill="accent1" w:themeFillTint="33"/>
              </w:rPr>
              <w:t>Calendrier prévu : 2021</w:t>
            </w:r>
            <w:r w:rsidRPr="00B3436B">
              <w:rPr>
                <w:rFonts w:asciiTheme="minorHAnsi" w:hAnsiTheme="minorHAnsi" w:cstheme="minorHAnsi"/>
                <w:b/>
                <w:sz w:val="20"/>
                <w:szCs w:val="20"/>
              </w:rPr>
              <w:t>/2022</w:t>
            </w:r>
          </w:p>
        </w:tc>
        <w:tc>
          <w:tcPr>
            <w:tcW w:w="4320" w:type="dxa"/>
            <w:vMerge/>
          </w:tcPr>
          <w:p w:rsidR="00DA5EAD" w:rsidRPr="00B3436B" w:rsidRDefault="00DA5EAD" w:rsidP="00706FDD">
            <w:pPr>
              <w:tabs>
                <w:tab w:val="left" w:pos="411"/>
                <w:tab w:val="center" w:pos="2585"/>
              </w:tabs>
              <w:rPr>
                <w:rFonts w:asciiTheme="minorHAnsi" w:hAnsiTheme="minorHAnsi" w:cstheme="minorHAnsi"/>
                <w:bCs/>
                <w:color w:val="000000" w:themeColor="text1"/>
                <w:sz w:val="20"/>
                <w:szCs w:val="20"/>
              </w:rPr>
            </w:pPr>
          </w:p>
        </w:tc>
      </w:tr>
      <w:tr w:rsidR="00DA5EAD" w:rsidRPr="00B3436B" w:rsidTr="00706FDD">
        <w:trPr>
          <w:trHeight w:val="1160"/>
        </w:trPr>
        <w:tc>
          <w:tcPr>
            <w:tcW w:w="4765" w:type="dxa"/>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1211</w:t>
            </w:r>
            <w:r w:rsidRPr="00B3436B">
              <w:rPr>
                <w:rFonts w:asciiTheme="minorHAnsi" w:hAnsiTheme="minorHAnsi" w:cstheme="minorHAnsi"/>
                <w:bCs/>
                <w:color w:val="000000" w:themeColor="text1"/>
                <w:sz w:val="20"/>
                <w:szCs w:val="20"/>
              </w:rPr>
              <w:t> : Ateliers organisés pour les PME dirigées par des femmes et dirigées par des hommes sur la capacité d’exportation, la connaissance des marchés canadiens et d’autres marchés internationaux et des secteurs spécifiques, y compris l’environnement et le changement climatique, ainsi que les pratiques commerciales responsables.</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Les partenaires chargés de la mise en œuvre participeront à une Formation des Formateurs (FdF) afin de renforcer leur capacité à fournir des services d'accès aux marchés canadiens et étrangers qui tiennent compte de la dimension de genre, de l’environnement et des changements climatiques.  Par la suite, les formateurs formeront les PME sélectionnées :</w:t>
            </w:r>
          </w:p>
          <w:p w:rsidR="00DA5EAD" w:rsidRPr="00B3436B" w:rsidRDefault="00DA5EAD" w:rsidP="00DA5EAD">
            <w:pPr>
              <w:pStyle w:val="Paragraphedeliste"/>
              <w:numPr>
                <w:ilvl w:val="0"/>
                <w:numId w:val="3"/>
              </w:num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lastRenderedPageBreak/>
              <w:t>Conception et développement des modules de formation</w:t>
            </w:r>
          </w:p>
          <w:p w:rsidR="00DA5EAD" w:rsidRPr="00B3436B" w:rsidRDefault="00DA5EAD" w:rsidP="00DA5EAD">
            <w:pPr>
              <w:pStyle w:val="Paragraphedeliste"/>
              <w:numPr>
                <w:ilvl w:val="0"/>
                <w:numId w:val="3"/>
              </w:num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Sélection des participants</w:t>
            </w:r>
          </w:p>
          <w:p w:rsidR="00DA5EAD" w:rsidRPr="00B3436B" w:rsidRDefault="00DA5EAD" w:rsidP="00DA5EAD">
            <w:pPr>
              <w:pStyle w:val="Paragraphedeliste"/>
              <w:numPr>
                <w:ilvl w:val="0"/>
                <w:numId w:val="3"/>
              </w:num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Formation des PME (accès au marché canadiens et internationaux)</w:t>
            </w:r>
          </w:p>
        </w:tc>
      </w:tr>
      <w:tr w:rsidR="00DA5EAD" w:rsidRPr="00B3436B" w:rsidTr="00706FDD">
        <w:trPr>
          <w:trHeight w:val="1481"/>
        </w:trPr>
        <w:tc>
          <w:tcPr>
            <w:tcW w:w="4765" w:type="dxa"/>
          </w:tcPr>
          <w:p w:rsidR="00DA5EAD" w:rsidRPr="00B3436B" w:rsidRDefault="00DA5EAD" w:rsidP="00706FDD">
            <w:pPr>
              <w:rPr>
                <w:rFonts w:asciiTheme="minorHAnsi" w:hAnsiTheme="minorHAnsi" w:cstheme="minorHAnsi"/>
                <w:b/>
                <w:color w:val="000000" w:themeColor="text1"/>
                <w:sz w:val="20"/>
                <w:szCs w:val="20"/>
              </w:rPr>
            </w:pPr>
            <w:r w:rsidRPr="00B3436B">
              <w:rPr>
                <w:rFonts w:asciiTheme="minorHAnsi" w:hAnsiTheme="minorHAnsi" w:cstheme="minorHAnsi"/>
                <w:b/>
                <w:sz w:val="20"/>
                <w:szCs w:val="20"/>
              </w:rPr>
              <w:lastRenderedPageBreak/>
              <w:t>Calendrier prévu : 202</w:t>
            </w:r>
            <w:r>
              <w:rPr>
                <w:rFonts w:asciiTheme="minorHAnsi" w:hAnsiTheme="minorHAnsi" w:cstheme="minorHAnsi"/>
                <w:b/>
                <w:sz w:val="20"/>
                <w:szCs w:val="20"/>
              </w:rPr>
              <w:t>1</w:t>
            </w:r>
            <w:r w:rsidRPr="00B3436B">
              <w:rPr>
                <w:rFonts w:asciiTheme="minorHAnsi" w:hAnsiTheme="minorHAnsi" w:cstheme="minorHAnsi"/>
                <w:b/>
                <w:sz w:val="20"/>
                <w:szCs w:val="20"/>
              </w:rPr>
              <w:t>/202</w:t>
            </w:r>
            <w:r>
              <w:rPr>
                <w:rFonts w:asciiTheme="minorHAnsi" w:hAnsiTheme="minorHAnsi" w:cstheme="minorHAnsi"/>
                <w:b/>
                <w:sz w:val="20"/>
                <w:szCs w:val="20"/>
              </w:rPr>
              <w:t>2</w:t>
            </w: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493"/>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lastRenderedPageBreak/>
              <w:t>Extrant 1212</w:t>
            </w:r>
            <w:r w:rsidRPr="00B3436B">
              <w:rPr>
                <w:rFonts w:asciiTheme="minorHAnsi" w:hAnsiTheme="minorHAnsi" w:cstheme="minorHAnsi"/>
                <w:bCs/>
                <w:color w:val="000000" w:themeColor="text1"/>
                <w:sz w:val="20"/>
                <w:szCs w:val="20"/>
              </w:rPr>
              <w:t> : Connaissances et compétences spécialisées en matière de commerce international (p. ex. : technologies, développement de produits, certification, etc.) fournies aux entreprises exportatrices dirigées par des femmes dans le cadre du Fonds de contreparties pour les exportatrices</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Pour certaines entreprises, une connaissance approfondie du commerce international.  Participation à des ateliers spécifiques à leurs besoins.</w:t>
            </w:r>
          </w:p>
        </w:tc>
      </w:tr>
      <w:tr w:rsidR="00DA5EAD" w:rsidRPr="00B3436B" w:rsidTr="00706FDD">
        <w:trPr>
          <w:trHeight w:val="616"/>
        </w:trPr>
        <w:tc>
          <w:tcPr>
            <w:tcW w:w="4765" w:type="dxa"/>
            <w:shd w:val="clear" w:color="auto" w:fill="DEEAF6" w:themeFill="accent1" w:themeFillTint="33"/>
          </w:tcPr>
          <w:p w:rsidR="00DA5EAD" w:rsidRPr="00B3436B" w:rsidRDefault="00DA5EAD" w:rsidP="00706FDD">
            <w:pPr>
              <w:rPr>
                <w:rFonts w:asciiTheme="minorHAnsi" w:hAnsiTheme="minorHAnsi" w:cstheme="minorHAnsi"/>
                <w:b/>
                <w:sz w:val="20"/>
                <w:szCs w:val="20"/>
              </w:rPr>
            </w:pPr>
            <w:r w:rsidRPr="00B3436B">
              <w:rPr>
                <w:rFonts w:asciiTheme="minorHAnsi" w:hAnsiTheme="minorHAnsi" w:cstheme="minorHAnsi"/>
                <w:b/>
                <w:sz w:val="20"/>
                <w:szCs w:val="20"/>
              </w:rPr>
              <w:t>Calendrier prévu : 202</w:t>
            </w:r>
            <w:r>
              <w:rPr>
                <w:rFonts w:asciiTheme="minorHAnsi" w:hAnsiTheme="minorHAnsi" w:cstheme="minorHAnsi"/>
                <w:b/>
                <w:sz w:val="20"/>
                <w:szCs w:val="20"/>
              </w:rPr>
              <w:t>1</w:t>
            </w:r>
            <w:r w:rsidRPr="00B3436B">
              <w:rPr>
                <w:rFonts w:asciiTheme="minorHAnsi" w:hAnsiTheme="minorHAnsi" w:cstheme="minorHAnsi"/>
                <w:b/>
                <w:sz w:val="20"/>
                <w:szCs w:val="20"/>
              </w:rPr>
              <w:t>/202</w:t>
            </w:r>
            <w:r>
              <w:rPr>
                <w:rFonts w:asciiTheme="minorHAnsi" w:hAnsiTheme="minorHAnsi" w:cstheme="minorHAnsi"/>
                <w:b/>
                <w:sz w:val="20"/>
                <w:szCs w:val="20"/>
              </w:rPr>
              <w:t>2</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233"/>
        </w:trPr>
        <w:tc>
          <w:tcPr>
            <w:tcW w:w="4765" w:type="dxa"/>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1213</w:t>
            </w:r>
            <w:r w:rsidRPr="00B3436B">
              <w:rPr>
                <w:rFonts w:asciiTheme="minorHAnsi" w:hAnsiTheme="minorHAnsi" w:cstheme="minorHAnsi"/>
                <w:bCs/>
                <w:color w:val="000000" w:themeColor="text1"/>
                <w:sz w:val="20"/>
                <w:szCs w:val="20"/>
              </w:rPr>
              <w:t> : Services d’information en ligne actualisés et pertinents offerts par le biais du site Web de TFO Canada, y compris l’environnement et le changement climatique, ainsi que les pratiques commerciales responsables</w:t>
            </w:r>
          </w:p>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Calendrier prévu :</w:t>
            </w:r>
          </w:p>
        </w:tc>
        <w:tc>
          <w:tcPr>
            <w:tcW w:w="4320" w:type="dxa"/>
            <w:vMerge w:val="restart"/>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 xml:space="preserve">L’enregistrement à la plateforme de TFO Canada (gratuit) permet aux PME membres de la </w:t>
            </w:r>
            <w:r>
              <w:rPr>
                <w:rFonts w:ascii="Book Antiqua" w:hAnsi="Book Antiqua" w:cs="MS Shell Dlg"/>
                <w:sz w:val="20"/>
                <w:szCs w:val="20"/>
              </w:rPr>
              <w:t>CCI-BF</w:t>
            </w:r>
            <w:r w:rsidRPr="00B3436B" w:rsidDel="005B1688">
              <w:rPr>
                <w:rFonts w:asciiTheme="minorHAnsi" w:hAnsiTheme="minorHAnsi" w:cstheme="minorHAnsi"/>
                <w:bCs/>
                <w:color w:val="000000" w:themeColor="text1"/>
                <w:sz w:val="20"/>
                <w:szCs w:val="20"/>
              </w:rPr>
              <w:t xml:space="preserve"> </w:t>
            </w:r>
            <w:r w:rsidRPr="00B3436B">
              <w:rPr>
                <w:rFonts w:asciiTheme="minorHAnsi" w:hAnsiTheme="minorHAnsi" w:cstheme="minorHAnsi"/>
                <w:bCs/>
                <w:color w:val="000000" w:themeColor="text1"/>
                <w:sz w:val="20"/>
                <w:szCs w:val="20"/>
              </w:rPr>
              <w:t xml:space="preserve"> et des IAC partenaires d’avoir accès à de nombreuses ressources sur l’exportation vers le Canada, et de présenter leurs produits à des acheteurs canadiens présents sur la plateforme.  Une meilleure visibilité augmente le potentiel des ventes</w:t>
            </w:r>
          </w:p>
        </w:tc>
      </w:tr>
      <w:tr w:rsidR="00DA5EAD" w:rsidRPr="00B3436B" w:rsidTr="00706FDD">
        <w:trPr>
          <w:trHeight w:val="715"/>
        </w:trPr>
        <w:tc>
          <w:tcPr>
            <w:tcW w:w="4765" w:type="dxa"/>
            <w:shd w:val="clear" w:color="auto" w:fill="FFFFFF" w:themeFill="background1"/>
          </w:tcPr>
          <w:p w:rsidR="00DA5EAD" w:rsidRPr="00B3436B" w:rsidRDefault="00DA5EAD" w:rsidP="00706FDD">
            <w:pPr>
              <w:rPr>
                <w:rFonts w:asciiTheme="minorHAnsi" w:hAnsiTheme="minorHAnsi" w:cstheme="minorHAnsi"/>
                <w:b/>
                <w:sz w:val="20"/>
                <w:szCs w:val="20"/>
              </w:rPr>
            </w:pPr>
            <w:r w:rsidRPr="00B3436B">
              <w:rPr>
                <w:rFonts w:asciiTheme="minorHAnsi" w:hAnsiTheme="minorHAnsi" w:cstheme="minorHAnsi"/>
                <w:b/>
                <w:sz w:val="20"/>
                <w:szCs w:val="20"/>
              </w:rPr>
              <w:t>Calendrier prévu : 2021/2024</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346"/>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Extrant1214</w:t>
            </w:r>
            <w:r w:rsidRPr="00B3436B">
              <w:rPr>
                <w:rFonts w:asciiTheme="minorHAnsi" w:hAnsiTheme="minorHAnsi" w:cstheme="minorHAnsi"/>
                <w:bCs/>
                <w:color w:val="000000" w:themeColor="text1"/>
                <w:sz w:val="20"/>
                <w:szCs w:val="20"/>
              </w:rPr>
              <w:t xml:space="preserve"> : Entreprises exportatrices dirigées par des femmes associées aux réseaux, aux conférences et aux activités de promotion des activités commerciales ou d’exportation des femmes dans le cadre du Fonds de contrepartie pour les exportatrices </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Augmente la capacité de certaines entreprises à réseauter et à participer à des activités de promotion d’activités commerces ou d’exportation.</w:t>
            </w:r>
          </w:p>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598"/>
        </w:trPr>
        <w:tc>
          <w:tcPr>
            <w:tcW w:w="4765" w:type="dxa"/>
            <w:shd w:val="clear" w:color="auto" w:fill="DEEAF6" w:themeFill="accent1" w:themeFillTint="33"/>
          </w:tcPr>
          <w:p w:rsidR="00DA5EAD" w:rsidRPr="00B3436B" w:rsidRDefault="00DA5EAD" w:rsidP="00706FDD">
            <w:pPr>
              <w:rPr>
                <w:rFonts w:asciiTheme="minorHAnsi" w:hAnsiTheme="minorHAnsi" w:cstheme="minorHAnsi"/>
                <w:b/>
                <w:sz w:val="20"/>
                <w:szCs w:val="20"/>
              </w:rPr>
            </w:pPr>
            <w:r w:rsidRPr="00B3436B">
              <w:rPr>
                <w:rFonts w:asciiTheme="minorHAnsi" w:hAnsiTheme="minorHAnsi" w:cstheme="minorHAnsi"/>
                <w:b/>
                <w:sz w:val="20"/>
                <w:szCs w:val="20"/>
              </w:rPr>
              <w:t>Calendrier prévu : 202</w:t>
            </w:r>
            <w:r>
              <w:rPr>
                <w:rFonts w:asciiTheme="minorHAnsi" w:hAnsiTheme="minorHAnsi" w:cstheme="minorHAnsi"/>
                <w:b/>
                <w:sz w:val="20"/>
                <w:szCs w:val="20"/>
              </w:rPr>
              <w:t>1</w:t>
            </w:r>
            <w:r w:rsidRPr="00B3436B">
              <w:rPr>
                <w:rFonts w:asciiTheme="minorHAnsi" w:hAnsiTheme="minorHAnsi" w:cstheme="minorHAnsi"/>
                <w:b/>
                <w:sz w:val="20"/>
                <w:szCs w:val="20"/>
              </w:rPr>
              <w:t>/202</w:t>
            </w:r>
            <w:r>
              <w:rPr>
                <w:rFonts w:asciiTheme="minorHAnsi" w:hAnsiTheme="minorHAnsi" w:cstheme="minorHAnsi"/>
                <w:b/>
                <w:sz w:val="20"/>
                <w:szCs w:val="20"/>
              </w:rPr>
              <w:t>4</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412"/>
        </w:trPr>
        <w:tc>
          <w:tcPr>
            <w:tcW w:w="4765" w:type="dxa"/>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1221</w:t>
            </w:r>
            <w:r w:rsidRPr="00B3436B">
              <w:rPr>
                <w:rFonts w:asciiTheme="minorHAnsi" w:hAnsiTheme="minorHAnsi" w:cstheme="minorHAnsi"/>
                <w:bCs/>
                <w:color w:val="000000" w:themeColor="text1"/>
                <w:sz w:val="20"/>
                <w:szCs w:val="20"/>
              </w:rPr>
              <w:t> : PME dirigées par/appartenant à des femmes appuyées par le biais de webinaires et de séminaires, en vue d’utiliser le savoir-faire numérique pour commercialiser leurs produits (p. ex. : inscription sur la plateforme en ligne de TFO Canada)</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tcPr>
          <w:p w:rsidR="00DA5EAD" w:rsidRPr="00B3436B" w:rsidRDefault="00DA5EAD" w:rsidP="00706FDD">
            <w:pPr>
              <w:tabs>
                <w:tab w:val="left" w:pos="1995"/>
              </w:tabs>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Une meilleure connaissance des outils numériques permet aux PME impliquées d’avoir une meilleure visibilité sur le marché canadien et international, menant à plus de ventes à l’exportation.</w:t>
            </w:r>
          </w:p>
        </w:tc>
      </w:tr>
      <w:tr w:rsidR="00DA5EAD" w:rsidRPr="00B3436B" w:rsidTr="00706FDD">
        <w:trPr>
          <w:trHeight w:val="436"/>
        </w:trPr>
        <w:tc>
          <w:tcPr>
            <w:tcW w:w="4765" w:type="dxa"/>
            <w:shd w:val="clear" w:color="auto" w:fill="FFFFFF" w:themeFill="background1"/>
          </w:tcPr>
          <w:p w:rsidR="00DA5EAD" w:rsidRPr="00B3436B" w:rsidRDefault="00DA5EAD" w:rsidP="00706FDD">
            <w:pPr>
              <w:rPr>
                <w:rFonts w:asciiTheme="minorHAnsi" w:hAnsiTheme="minorHAnsi" w:cstheme="minorHAnsi"/>
                <w:b/>
                <w:color w:val="FFFFFF" w:themeColor="background1"/>
                <w:sz w:val="20"/>
                <w:szCs w:val="20"/>
              </w:rPr>
            </w:pPr>
            <w:r w:rsidRPr="00B3436B">
              <w:rPr>
                <w:rFonts w:asciiTheme="minorHAnsi" w:hAnsiTheme="minorHAnsi" w:cstheme="minorHAnsi"/>
                <w:b/>
                <w:sz w:val="20"/>
                <w:szCs w:val="20"/>
              </w:rPr>
              <w:t>Calendrier prévu : 202</w:t>
            </w:r>
            <w:r>
              <w:rPr>
                <w:rFonts w:asciiTheme="minorHAnsi" w:hAnsiTheme="minorHAnsi" w:cstheme="minorHAnsi"/>
                <w:b/>
                <w:sz w:val="20"/>
                <w:szCs w:val="20"/>
              </w:rPr>
              <w:t>1</w:t>
            </w:r>
            <w:r w:rsidRPr="00B3436B">
              <w:rPr>
                <w:rFonts w:asciiTheme="minorHAnsi" w:hAnsiTheme="minorHAnsi" w:cstheme="minorHAnsi"/>
                <w:b/>
                <w:sz w:val="20"/>
                <w:szCs w:val="20"/>
              </w:rPr>
              <w:t>/2024</w:t>
            </w:r>
          </w:p>
        </w:tc>
        <w:tc>
          <w:tcPr>
            <w:tcW w:w="4320" w:type="dxa"/>
            <w:vMerge/>
          </w:tcPr>
          <w:p w:rsidR="00DA5EAD" w:rsidRPr="00B3436B" w:rsidRDefault="00DA5EAD" w:rsidP="00706FDD">
            <w:pPr>
              <w:tabs>
                <w:tab w:val="left" w:pos="1995"/>
              </w:tabs>
              <w:rPr>
                <w:rFonts w:asciiTheme="minorHAnsi" w:hAnsiTheme="minorHAnsi" w:cstheme="minorHAnsi"/>
                <w:bCs/>
                <w:color w:val="000000" w:themeColor="text1"/>
                <w:sz w:val="20"/>
                <w:szCs w:val="20"/>
              </w:rPr>
            </w:pPr>
          </w:p>
        </w:tc>
      </w:tr>
      <w:tr w:rsidR="00DA5EAD" w:rsidRPr="00B3436B" w:rsidTr="00706FDD">
        <w:trPr>
          <w:trHeight w:val="1365"/>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1222</w:t>
            </w:r>
            <w:r w:rsidRPr="00B3436B">
              <w:rPr>
                <w:rFonts w:asciiTheme="minorHAnsi" w:hAnsiTheme="minorHAnsi" w:cstheme="minorHAnsi"/>
                <w:bCs/>
                <w:color w:val="000000" w:themeColor="text1"/>
                <w:sz w:val="20"/>
                <w:szCs w:val="20"/>
              </w:rPr>
              <w:t> : Activités relatives à l’accès aux marchés canadiens et à d’autres marchés internationaux, organisées pour les PME dirigées par des femmes [y compris les secteurs de produits biologiques et du commerce équitable].</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Sélection et participation de PME à des foires et activités commerciales (au Canada ou ailleurs)</w:t>
            </w:r>
          </w:p>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593"/>
        </w:trPr>
        <w:tc>
          <w:tcPr>
            <w:tcW w:w="4765" w:type="dxa"/>
            <w:shd w:val="clear" w:color="auto" w:fill="DEEAF6" w:themeFill="accent1" w:themeFillTint="33"/>
          </w:tcPr>
          <w:p w:rsidR="00DA5EAD" w:rsidRPr="00B3436B" w:rsidRDefault="00DA5EAD" w:rsidP="00706FDD">
            <w:pPr>
              <w:rPr>
                <w:rFonts w:asciiTheme="minorHAnsi" w:hAnsiTheme="minorHAnsi" w:cstheme="minorHAnsi"/>
                <w:b/>
                <w:sz w:val="20"/>
                <w:szCs w:val="20"/>
              </w:rPr>
            </w:pPr>
            <w:r w:rsidRPr="00B3436B">
              <w:rPr>
                <w:rFonts w:asciiTheme="minorHAnsi" w:hAnsiTheme="minorHAnsi" w:cstheme="minorHAnsi"/>
                <w:b/>
                <w:sz w:val="20"/>
                <w:szCs w:val="20"/>
              </w:rPr>
              <w:t>Calendrier prévu : 2022/2024</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290"/>
        </w:trPr>
        <w:tc>
          <w:tcPr>
            <w:tcW w:w="4765" w:type="dxa"/>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lastRenderedPageBreak/>
              <w:t>Extrant 1223</w:t>
            </w:r>
            <w:r w:rsidRPr="00B3436B">
              <w:rPr>
                <w:rFonts w:asciiTheme="minorHAnsi" w:hAnsiTheme="minorHAnsi" w:cstheme="minorHAnsi"/>
                <w:bCs/>
                <w:color w:val="000000" w:themeColor="text1"/>
                <w:sz w:val="20"/>
                <w:szCs w:val="20"/>
              </w:rPr>
              <w:t> : Activités de promotion de l’exportation organisées de manière individuelles et financées par des entreprises exportatrices dirigées par des femmes dans le cadre du Fonds de contrepartie pour les exportatrices.</w:t>
            </w:r>
          </w:p>
        </w:tc>
        <w:tc>
          <w:tcPr>
            <w:tcW w:w="4320" w:type="dxa"/>
            <w:vMerge w:val="restart"/>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La participation d’entreprises prospères dirigées des femmes présente aux PME débutantes dans l’exportation un modèle positif et un partage d’expérience concret.</w:t>
            </w:r>
          </w:p>
        </w:tc>
      </w:tr>
      <w:tr w:rsidR="00DA5EAD" w:rsidRPr="00B3436B" w:rsidTr="00706FDD">
        <w:trPr>
          <w:trHeight w:val="659"/>
        </w:trPr>
        <w:tc>
          <w:tcPr>
            <w:tcW w:w="4765" w:type="dxa"/>
            <w:shd w:val="clear" w:color="auto" w:fill="FFFFFF" w:themeFill="background1"/>
          </w:tcPr>
          <w:p w:rsidR="00DA5EAD" w:rsidRPr="00B3436B" w:rsidRDefault="00DA5EAD" w:rsidP="00706FDD">
            <w:pPr>
              <w:rPr>
                <w:rFonts w:asciiTheme="minorHAnsi" w:hAnsiTheme="minorHAnsi" w:cstheme="minorHAnsi"/>
                <w:b/>
                <w:color w:val="000000" w:themeColor="text1"/>
                <w:sz w:val="20"/>
                <w:szCs w:val="20"/>
              </w:rPr>
            </w:pPr>
            <w:r w:rsidRPr="00B3436B">
              <w:rPr>
                <w:rFonts w:asciiTheme="minorHAnsi" w:hAnsiTheme="minorHAnsi" w:cstheme="minorHAnsi"/>
                <w:b/>
                <w:sz w:val="20"/>
                <w:szCs w:val="20"/>
                <w:shd w:val="clear" w:color="auto" w:fill="FFFFFF" w:themeFill="background1"/>
              </w:rPr>
              <w:t>Calendrier prévu</w:t>
            </w:r>
            <w:r w:rsidRPr="00B3436B">
              <w:rPr>
                <w:rFonts w:asciiTheme="minorHAnsi" w:hAnsiTheme="minorHAnsi" w:cstheme="minorHAnsi"/>
                <w:b/>
                <w:sz w:val="20"/>
                <w:szCs w:val="20"/>
              </w:rPr>
              <w:t> : 2022/2024</w:t>
            </w: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243"/>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1224</w:t>
            </w:r>
            <w:r w:rsidRPr="00B3436B">
              <w:rPr>
                <w:rFonts w:asciiTheme="minorHAnsi" w:hAnsiTheme="minorHAnsi" w:cstheme="minorHAnsi"/>
                <w:bCs/>
                <w:color w:val="000000" w:themeColor="text1"/>
                <w:sz w:val="20"/>
                <w:szCs w:val="20"/>
              </w:rPr>
              <w:t> : Programme des acheteurs leaders créé en vue de mettre les entreprises dirigées par des femmes en contact avec des acheteurs canadiens et d’autres acheteurs internationaux.</w:t>
            </w:r>
          </w:p>
        </w:tc>
        <w:tc>
          <w:tcPr>
            <w:tcW w:w="4320" w:type="dxa"/>
            <w:vMerge w:val="restart"/>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 xml:space="preserve">La mise en relation d’acheteurs canadiens et étranger avec les PME participantes leur permettra de présenter leurs produits et potentiellement les vendre.  Une mission d’acheteur vers </w:t>
            </w:r>
            <w:r>
              <w:rPr>
                <w:rFonts w:ascii="Book Antiqua" w:hAnsi="Book Antiqua" w:cs="MS Shell Dlg"/>
                <w:sz w:val="20"/>
                <w:szCs w:val="20"/>
              </w:rPr>
              <w:t>Burkina Faso</w:t>
            </w:r>
            <w:r w:rsidRPr="00B3436B">
              <w:rPr>
                <w:rFonts w:asciiTheme="minorHAnsi" w:hAnsiTheme="minorHAnsi" w:cstheme="minorHAnsi"/>
                <w:bCs/>
                <w:color w:val="000000" w:themeColor="text1"/>
                <w:sz w:val="20"/>
                <w:szCs w:val="20"/>
              </w:rPr>
              <w:t xml:space="preserve"> sera organisée (foire commerciale, B2B, etc,)</w:t>
            </w:r>
          </w:p>
        </w:tc>
      </w:tr>
      <w:tr w:rsidR="00DA5EAD" w:rsidRPr="00B3436B" w:rsidTr="00706FDD">
        <w:trPr>
          <w:trHeight w:val="242"/>
        </w:trPr>
        <w:tc>
          <w:tcPr>
            <w:tcW w:w="4765" w:type="dxa"/>
            <w:shd w:val="clear" w:color="auto" w:fill="DEEAF6" w:themeFill="accent1" w:themeFillTint="33"/>
          </w:tcPr>
          <w:p w:rsidR="00DA5EAD" w:rsidRPr="00124907" w:rsidRDefault="00DA5EAD" w:rsidP="00706FDD">
            <w:pPr>
              <w:rPr>
                <w:rFonts w:asciiTheme="minorHAnsi" w:hAnsiTheme="minorHAnsi" w:cstheme="minorHAnsi"/>
                <w:b/>
                <w:sz w:val="20"/>
                <w:szCs w:val="20"/>
              </w:rPr>
            </w:pPr>
            <w:r w:rsidRPr="00124907">
              <w:rPr>
                <w:rFonts w:asciiTheme="minorHAnsi" w:hAnsiTheme="minorHAnsi" w:cstheme="minorHAnsi"/>
                <w:b/>
                <w:sz w:val="20"/>
                <w:szCs w:val="20"/>
              </w:rPr>
              <w:t>Calendrier prévu : 202</w:t>
            </w:r>
            <w:r>
              <w:rPr>
                <w:rFonts w:asciiTheme="minorHAnsi" w:hAnsiTheme="minorHAnsi" w:cstheme="minorHAnsi"/>
                <w:b/>
                <w:sz w:val="20"/>
                <w:szCs w:val="20"/>
              </w:rPr>
              <w:t>3</w:t>
            </w:r>
            <w:r w:rsidRPr="00124907">
              <w:rPr>
                <w:rFonts w:asciiTheme="minorHAnsi" w:hAnsiTheme="minorHAnsi" w:cstheme="minorHAnsi"/>
                <w:b/>
                <w:sz w:val="20"/>
                <w:szCs w:val="20"/>
              </w:rPr>
              <w:t>/2024</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1186"/>
        </w:trPr>
        <w:tc>
          <w:tcPr>
            <w:tcW w:w="4765" w:type="dxa"/>
          </w:tcPr>
          <w:p w:rsidR="00DA5EAD" w:rsidRPr="00B3436B" w:rsidRDefault="00DA5EAD" w:rsidP="00706FDD">
            <w:pPr>
              <w:jc w:val="both"/>
              <w:rPr>
                <w:rFonts w:asciiTheme="minorHAnsi" w:hAnsiTheme="minorHAnsi" w:cstheme="minorHAnsi"/>
                <w:bCs/>
                <w:color w:val="000000" w:themeColor="text1"/>
                <w:sz w:val="20"/>
                <w:szCs w:val="20"/>
              </w:rPr>
            </w:pPr>
            <w:r w:rsidRPr="00B3436B">
              <w:rPr>
                <w:rFonts w:asciiTheme="minorHAnsi" w:hAnsiTheme="minorHAnsi" w:cstheme="minorHAnsi"/>
                <w:b/>
                <w:color w:val="000000" w:themeColor="text1"/>
                <w:sz w:val="20"/>
                <w:szCs w:val="20"/>
              </w:rPr>
              <w:t>Extrant 1225</w:t>
            </w:r>
            <w:r w:rsidRPr="00B3436B">
              <w:rPr>
                <w:rFonts w:asciiTheme="minorHAnsi" w:hAnsiTheme="minorHAnsi" w:cstheme="minorHAnsi"/>
                <w:bCs/>
                <w:color w:val="000000" w:themeColor="text1"/>
                <w:sz w:val="20"/>
                <w:szCs w:val="20"/>
              </w:rPr>
              <w:t xml:space="preserve"> : Sociétés dirigées par des femmes, mais non prêtes pour l’exportation, mises en contact avec des exportateurs dans le cadre du Programme des </w:t>
            </w:r>
            <w:r>
              <w:rPr>
                <w:rFonts w:asciiTheme="minorHAnsi" w:hAnsiTheme="minorHAnsi" w:cstheme="minorHAnsi"/>
                <w:bCs/>
                <w:color w:val="000000" w:themeColor="text1"/>
                <w:sz w:val="20"/>
                <w:szCs w:val="20"/>
              </w:rPr>
              <w:t>exporta</w:t>
            </w:r>
            <w:r w:rsidRPr="00B3436B">
              <w:rPr>
                <w:rFonts w:asciiTheme="minorHAnsi" w:hAnsiTheme="minorHAnsi" w:cstheme="minorHAnsi"/>
                <w:bCs/>
                <w:color w:val="000000" w:themeColor="text1"/>
                <w:sz w:val="20"/>
                <w:szCs w:val="20"/>
              </w:rPr>
              <w:t>teurs leaders.</w:t>
            </w:r>
          </w:p>
        </w:tc>
        <w:tc>
          <w:tcPr>
            <w:tcW w:w="4320" w:type="dxa"/>
            <w:vMerge w:val="restart"/>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La participation d’entreprises prospères dirigées par des femmes présente aux PME débutantes dans l’exportation un modèle positif et un partage d’expérience concret.</w:t>
            </w:r>
          </w:p>
        </w:tc>
      </w:tr>
      <w:tr w:rsidR="00DA5EAD" w:rsidRPr="00B3436B" w:rsidTr="00706FDD">
        <w:trPr>
          <w:trHeight w:val="611"/>
        </w:trPr>
        <w:tc>
          <w:tcPr>
            <w:tcW w:w="4765" w:type="dxa"/>
            <w:shd w:val="clear" w:color="auto" w:fill="auto"/>
          </w:tcPr>
          <w:p w:rsidR="00DA5EAD" w:rsidRPr="00B3436B" w:rsidRDefault="00DA5EAD" w:rsidP="00706FDD">
            <w:pPr>
              <w:jc w:val="both"/>
              <w:rPr>
                <w:rFonts w:asciiTheme="minorHAnsi" w:hAnsiTheme="minorHAnsi" w:cstheme="minorHAnsi"/>
                <w:bCs/>
                <w:color w:val="000000" w:themeColor="text1"/>
                <w:sz w:val="20"/>
                <w:szCs w:val="20"/>
              </w:rPr>
            </w:pPr>
            <w:r w:rsidRPr="00124907">
              <w:rPr>
                <w:rFonts w:asciiTheme="minorHAnsi" w:hAnsiTheme="minorHAnsi" w:cstheme="minorHAnsi"/>
                <w:bCs/>
                <w:sz w:val="20"/>
                <w:szCs w:val="20"/>
              </w:rPr>
              <w:t>Calendrier prévu : 2023/2024</w:t>
            </w: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r w:rsidR="00DA5EAD" w:rsidRPr="00B3436B" w:rsidTr="00706FDD">
        <w:trPr>
          <w:trHeight w:val="320"/>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Suivi et évaluation</w:t>
            </w:r>
          </w:p>
          <w:p w:rsidR="00DA5EAD" w:rsidRPr="00B3436B" w:rsidRDefault="00DA5EAD" w:rsidP="00706FDD">
            <w:pPr>
              <w:rPr>
                <w:rFonts w:asciiTheme="minorHAnsi" w:hAnsiTheme="minorHAnsi" w:cstheme="minorHAnsi"/>
                <w:bCs/>
                <w:color w:val="000000" w:themeColor="text1"/>
                <w:sz w:val="20"/>
                <w:szCs w:val="20"/>
              </w:rPr>
            </w:pPr>
          </w:p>
        </w:tc>
        <w:tc>
          <w:tcPr>
            <w:tcW w:w="4320" w:type="dxa"/>
            <w:vMerge w:val="restart"/>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Les partenaires de mise en œuvre fourniront des données pour suivre les progrès et surveilleront les résultats des PME dirigées par des femmes participant au projet</w:t>
            </w:r>
          </w:p>
          <w:p w:rsidR="00DA5EAD" w:rsidRPr="00B3436B" w:rsidRDefault="00DA5EAD" w:rsidP="00706FDD">
            <w:pPr>
              <w:rPr>
                <w:rFonts w:asciiTheme="minorHAnsi" w:hAnsiTheme="minorHAnsi" w:cstheme="minorHAnsi"/>
                <w:bCs/>
                <w:color w:val="000000" w:themeColor="text1"/>
                <w:sz w:val="20"/>
                <w:szCs w:val="20"/>
              </w:rPr>
            </w:pPr>
            <w:r w:rsidRPr="00B3436B">
              <w:rPr>
                <w:rFonts w:asciiTheme="minorHAnsi" w:hAnsiTheme="minorHAnsi" w:cstheme="minorHAnsi"/>
                <w:bCs/>
                <w:color w:val="000000" w:themeColor="text1"/>
                <w:sz w:val="20"/>
                <w:szCs w:val="20"/>
              </w:rPr>
              <w:t>(les indicateurs sont présentés dans le document sur le cadre de mesure des performances)</w:t>
            </w:r>
          </w:p>
        </w:tc>
      </w:tr>
      <w:tr w:rsidR="00DA5EAD" w:rsidRPr="00B3436B" w:rsidTr="00706FDD">
        <w:trPr>
          <w:trHeight w:val="1384"/>
        </w:trPr>
        <w:tc>
          <w:tcPr>
            <w:tcW w:w="4765" w:type="dxa"/>
            <w:shd w:val="clear" w:color="auto" w:fill="DEEAF6" w:themeFill="accent1" w:themeFillTint="33"/>
          </w:tcPr>
          <w:p w:rsidR="00DA5EAD" w:rsidRPr="00B3436B" w:rsidRDefault="00DA5EAD" w:rsidP="00706FDD">
            <w:pPr>
              <w:rPr>
                <w:rFonts w:asciiTheme="minorHAnsi" w:hAnsiTheme="minorHAnsi" w:cstheme="minorHAnsi"/>
                <w:bCs/>
                <w:color w:val="000000" w:themeColor="text1"/>
                <w:sz w:val="20"/>
                <w:szCs w:val="20"/>
              </w:rPr>
            </w:pPr>
            <w:r w:rsidRPr="00124907">
              <w:rPr>
                <w:rFonts w:asciiTheme="minorHAnsi" w:hAnsiTheme="minorHAnsi" w:cstheme="minorHAnsi"/>
                <w:bCs/>
                <w:sz w:val="20"/>
                <w:szCs w:val="20"/>
              </w:rPr>
              <w:t>Calendrier prévu : Tout au long du projet</w:t>
            </w:r>
          </w:p>
        </w:tc>
        <w:tc>
          <w:tcPr>
            <w:tcW w:w="4320" w:type="dxa"/>
            <w:vMerge/>
          </w:tcPr>
          <w:p w:rsidR="00DA5EAD" w:rsidRPr="00B3436B" w:rsidRDefault="00DA5EAD" w:rsidP="00706FDD">
            <w:pPr>
              <w:rPr>
                <w:rFonts w:asciiTheme="minorHAnsi" w:hAnsiTheme="minorHAnsi" w:cstheme="minorHAnsi"/>
                <w:bCs/>
                <w:color w:val="000000" w:themeColor="text1"/>
                <w:sz w:val="20"/>
                <w:szCs w:val="20"/>
              </w:rPr>
            </w:pPr>
          </w:p>
        </w:tc>
      </w:tr>
    </w:tbl>
    <w:p w:rsidR="00DA5EAD" w:rsidRPr="0066177D" w:rsidRDefault="00DA5EAD" w:rsidP="00DA5EAD">
      <w:pPr>
        <w:rPr>
          <w:rFonts w:asciiTheme="minorHAnsi" w:hAnsiTheme="minorHAnsi" w:cstheme="minorHAnsi"/>
        </w:rPr>
      </w:pPr>
    </w:p>
    <w:p w:rsidR="00DA5EAD" w:rsidRPr="0066177D" w:rsidRDefault="00DA5EAD" w:rsidP="00DA5EAD">
      <w:pPr>
        <w:rPr>
          <w:rFonts w:asciiTheme="minorHAnsi" w:hAnsiTheme="minorHAnsi" w:cstheme="minorHAnsi"/>
        </w:rPr>
      </w:pPr>
    </w:p>
    <w:p w:rsidR="00DA5EAD" w:rsidRPr="0066177D" w:rsidRDefault="00DA5EAD" w:rsidP="00DA5EAD">
      <w:pPr>
        <w:pStyle w:val="Titre3"/>
        <w:numPr>
          <w:ilvl w:val="0"/>
          <w:numId w:val="1"/>
        </w:numPr>
        <w:shd w:val="clear" w:color="auto" w:fill="FFFFFF" w:themeFill="background1"/>
        <w:jc w:val="both"/>
        <w:rPr>
          <w:rFonts w:asciiTheme="minorHAnsi" w:hAnsiTheme="minorHAnsi" w:cstheme="minorHAnsi"/>
          <w:b/>
          <w:sz w:val="22"/>
          <w:szCs w:val="22"/>
        </w:rPr>
      </w:pPr>
      <w:r w:rsidRPr="0066177D">
        <w:rPr>
          <w:rFonts w:asciiTheme="minorHAnsi" w:hAnsiTheme="minorHAnsi" w:cstheme="minorHAnsi"/>
          <w:b/>
          <w:sz w:val="22"/>
          <w:szCs w:val="22"/>
        </w:rPr>
        <w:t>Bénéficiaires ciblés</w:t>
      </w:r>
    </w:p>
    <w:p w:rsidR="00DA5EAD" w:rsidRPr="00B3436B" w:rsidRDefault="00DA5EAD" w:rsidP="00DA5EAD">
      <w:pPr>
        <w:rPr>
          <w:rFonts w:asciiTheme="minorHAnsi" w:hAnsiTheme="minorHAnsi" w:cstheme="minorHAnsi"/>
        </w:rPr>
      </w:pPr>
    </w:p>
    <w:tbl>
      <w:tblPr>
        <w:tblStyle w:val="TableGrid3"/>
        <w:tblW w:w="0" w:type="auto"/>
        <w:tblLook w:val="04A0" w:firstRow="1" w:lastRow="0" w:firstColumn="1" w:lastColumn="0" w:noHBand="0" w:noVBand="1"/>
      </w:tblPr>
      <w:tblGrid>
        <w:gridCol w:w="6475"/>
        <w:gridCol w:w="3115"/>
      </w:tblGrid>
      <w:tr w:rsidR="00DA5EAD" w:rsidRPr="00B3436B" w:rsidTr="00706FDD">
        <w:tc>
          <w:tcPr>
            <w:tcW w:w="6475" w:type="dxa"/>
          </w:tcPr>
          <w:p w:rsidR="00DA5EAD" w:rsidRPr="00B3436B" w:rsidRDefault="00DA5EAD" w:rsidP="00706FDD">
            <w:pPr>
              <w:spacing w:before="116" w:line="276" w:lineRule="auto"/>
              <w:rPr>
                <w:rFonts w:asciiTheme="minorHAnsi" w:hAnsiTheme="minorHAnsi" w:cstheme="minorHAnsi"/>
                <w:b/>
                <w:bCs/>
              </w:rPr>
            </w:pPr>
            <w:r w:rsidRPr="00B3436B">
              <w:rPr>
                <w:rFonts w:asciiTheme="minorHAnsi" w:hAnsiTheme="minorHAnsi" w:cstheme="minorHAnsi"/>
                <w:b/>
                <w:bCs/>
              </w:rPr>
              <w:t>Indicateurs</w:t>
            </w:r>
          </w:p>
        </w:tc>
        <w:tc>
          <w:tcPr>
            <w:tcW w:w="3115" w:type="dxa"/>
          </w:tcPr>
          <w:p w:rsidR="00DA5EAD" w:rsidRPr="00B3436B" w:rsidRDefault="00DA5EAD" w:rsidP="00706FDD">
            <w:pPr>
              <w:spacing w:before="116" w:line="276" w:lineRule="auto"/>
              <w:rPr>
                <w:rFonts w:asciiTheme="minorHAnsi" w:hAnsiTheme="minorHAnsi" w:cstheme="minorHAnsi"/>
                <w:b/>
                <w:bCs/>
              </w:rPr>
            </w:pPr>
            <w:r w:rsidRPr="00B3436B">
              <w:rPr>
                <w:rFonts w:asciiTheme="minorHAnsi" w:hAnsiTheme="minorHAnsi" w:cstheme="minorHAnsi"/>
                <w:b/>
                <w:bCs/>
              </w:rPr>
              <w:t>Nombre de bénéficiaires</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573B69">
              <w:rPr>
                <w:rFonts w:asciiTheme="minorHAnsi" w:hAnsiTheme="minorHAnsi" w:cstheme="minorHAnsi"/>
              </w:rPr>
              <w:t>N</w:t>
            </w:r>
            <w:r w:rsidRPr="00573B69">
              <w:rPr>
                <w:rFonts w:asciiTheme="minorHAnsi" w:hAnsiTheme="minorHAnsi" w:cstheme="minorHAnsi"/>
                <w:vertAlign w:val="superscript"/>
              </w:rPr>
              <w:t>bre</w:t>
            </w:r>
            <w:r w:rsidRPr="00573B69" w:rsidDel="00F239DF">
              <w:rPr>
                <w:rFonts w:asciiTheme="minorHAnsi" w:hAnsiTheme="minorHAnsi" w:cstheme="minorHAnsi"/>
              </w:rPr>
              <w:t xml:space="preserve"> </w:t>
            </w:r>
            <w:r w:rsidRPr="0066177D">
              <w:rPr>
                <w:rFonts w:asciiTheme="minorHAnsi" w:hAnsiTheme="minorHAnsi" w:cstheme="minorHAnsi"/>
              </w:rPr>
              <w:t>d’Institut d’appui au commerce</w:t>
            </w:r>
          </w:p>
        </w:tc>
        <w:tc>
          <w:tcPr>
            <w:tcW w:w="3115" w:type="dxa"/>
          </w:tcPr>
          <w:p w:rsidR="00DA5EAD" w:rsidRPr="00B3436B"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1</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sidDel="00F239DF">
              <w:rPr>
                <w:rFonts w:asciiTheme="minorHAnsi" w:hAnsiTheme="minorHAnsi" w:cstheme="minorHAnsi"/>
              </w:rPr>
              <w:t xml:space="preserve"> </w:t>
            </w:r>
            <w:r w:rsidRPr="0066177D">
              <w:rPr>
                <w:rFonts w:asciiTheme="minorHAnsi" w:hAnsiTheme="minorHAnsi" w:cstheme="minorHAnsi"/>
              </w:rPr>
              <w:t>de personnel (personnel technique/formateurs) des IAC dans les formations de formateurs (FDF)</w:t>
            </w:r>
          </w:p>
        </w:tc>
        <w:tc>
          <w:tcPr>
            <w:tcW w:w="3115" w:type="dxa"/>
          </w:tcPr>
          <w:p w:rsidR="00DA5EAD"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2</w:t>
            </w:r>
          </w:p>
          <w:p w:rsidR="00DA5EAD" w:rsidRPr="00B3436B" w:rsidRDefault="00DA5EAD" w:rsidP="00706FDD">
            <w:pPr>
              <w:spacing w:before="116" w:line="276" w:lineRule="auto"/>
              <w:jc w:val="center"/>
              <w:rPr>
                <w:rFonts w:asciiTheme="minorHAnsi" w:hAnsiTheme="minorHAnsi" w:cstheme="minorHAnsi"/>
              </w:rPr>
            </w:pP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Pr>
                <w:rFonts w:asciiTheme="minorHAnsi" w:hAnsiTheme="minorHAnsi" w:cstheme="minorHAnsi"/>
                <w:iCs/>
              </w:rPr>
              <w:t xml:space="preserve"> de membres du CA et haute gestionnaires</w:t>
            </w:r>
          </w:p>
        </w:tc>
        <w:tc>
          <w:tcPr>
            <w:tcW w:w="3115" w:type="dxa"/>
          </w:tcPr>
          <w:p w:rsidR="00DA5EAD" w:rsidRPr="00B3436B" w:rsidRDefault="00DA5EAD" w:rsidP="00706FDD">
            <w:pPr>
              <w:spacing w:before="116" w:line="276" w:lineRule="auto"/>
              <w:jc w:val="right"/>
              <w:rPr>
                <w:rFonts w:asciiTheme="minorHAnsi" w:hAnsiTheme="minorHAnsi" w:cstheme="minorHAnsi"/>
              </w:rPr>
            </w:pPr>
            <w:r>
              <w:rPr>
                <w:rFonts w:asciiTheme="minorHAnsi" w:hAnsiTheme="minorHAnsi" w:cstheme="minorHAnsi"/>
              </w:rPr>
              <w:t xml:space="preserve">5                                                       </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Pr>
                <w:rFonts w:asciiTheme="minorHAnsi" w:hAnsiTheme="minorHAnsi" w:cstheme="minorHAnsi"/>
              </w:rPr>
              <w:t xml:space="preserve"> de PME dirigées par des femmes qui reçoivent du renforcement de capacité axé sur les femmes</w:t>
            </w:r>
          </w:p>
        </w:tc>
        <w:tc>
          <w:tcPr>
            <w:tcW w:w="3115" w:type="dxa"/>
          </w:tcPr>
          <w:p w:rsidR="00DA5EAD"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112</w:t>
            </w:r>
          </w:p>
          <w:p w:rsidR="00DA5EAD" w:rsidRPr="00B3436B" w:rsidRDefault="00DA5EAD" w:rsidP="00706FDD">
            <w:pPr>
              <w:spacing w:before="116" w:line="276" w:lineRule="auto"/>
              <w:jc w:val="right"/>
              <w:rPr>
                <w:rFonts w:asciiTheme="minorHAnsi" w:hAnsiTheme="minorHAnsi" w:cstheme="minorHAnsi"/>
              </w:rPr>
            </w:pPr>
            <w:r>
              <w:rPr>
                <w:rFonts w:asciiTheme="minorHAnsi" w:hAnsiTheme="minorHAnsi" w:cstheme="minorHAnsi"/>
              </w:rPr>
              <w:t xml:space="preserve">26H/86F </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sidDel="00F239DF">
              <w:rPr>
                <w:rFonts w:asciiTheme="minorHAnsi" w:hAnsiTheme="minorHAnsi" w:cstheme="minorHAnsi"/>
              </w:rPr>
              <w:t xml:space="preserve"> </w:t>
            </w:r>
            <w:r w:rsidRPr="0066177D">
              <w:rPr>
                <w:rFonts w:asciiTheme="minorHAnsi" w:hAnsiTheme="minorHAnsi" w:cstheme="minorHAnsi"/>
              </w:rPr>
              <w:t>de PME qui particip</w:t>
            </w:r>
            <w:r>
              <w:rPr>
                <w:rFonts w:asciiTheme="minorHAnsi" w:hAnsiTheme="minorHAnsi" w:cstheme="minorHAnsi"/>
              </w:rPr>
              <w:t>e</w:t>
            </w:r>
            <w:r w:rsidRPr="0066177D">
              <w:rPr>
                <w:rFonts w:asciiTheme="minorHAnsi" w:hAnsiTheme="minorHAnsi" w:cstheme="minorHAnsi"/>
              </w:rPr>
              <w:t>nt à des foires commerciales</w:t>
            </w:r>
          </w:p>
        </w:tc>
        <w:tc>
          <w:tcPr>
            <w:tcW w:w="3115" w:type="dxa"/>
          </w:tcPr>
          <w:p w:rsidR="00DA5EAD" w:rsidRPr="00B3436B"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3</w:t>
            </w:r>
            <w:r>
              <w:rPr>
                <w:rFonts w:asciiTheme="minorHAnsi" w:hAnsiTheme="minorHAnsi" w:cstheme="minorHAnsi"/>
              </w:rPr>
              <w:t>0 (au moins 24 dirigées par des femmes)</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lastRenderedPageBreak/>
              <w:t>N</w:t>
            </w:r>
            <w:r w:rsidRPr="0066177D">
              <w:rPr>
                <w:rFonts w:asciiTheme="minorHAnsi" w:hAnsiTheme="minorHAnsi" w:cstheme="minorHAnsi"/>
                <w:vertAlign w:val="superscript"/>
              </w:rPr>
              <w:t>bre</w:t>
            </w:r>
            <w:r w:rsidRPr="0066177D" w:rsidDel="00F239DF">
              <w:rPr>
                <w:rFonts w:asciiTheme="minorHAnsi" w:hAnsiTheme="minorHAnsi" w:cstheme="minorHAnsi"/>
              </w:rPr>
              <w:t xml:space="preserve"> </w:t>
            </w:r>
            <w:r w:rsidRPr="0066177D">
              <w:rPr>
                <w:rFonts w:asciiTheme="minorHAnsi" w:hAnsiTheme="minorHAnsi" w:cstheme="minorHAnsi"/>
              </w:rPr>
              <w:t>de P</w:t>
            </w:r>
            <w:r>
              <w:rPr>
                <w:rFonts w:asciiTheme="minorHAnsi" w:hAnsiTheme="minorHAnsi" w:cstheme="minorHAnsi"/>
              </w:rPr>
              <w:t>ME formées par des experts</w:t>
            </w:r>
          </w:p>
        </w:tc>
        <w:tc>
          <w:tcPr>
            <w:tcW w:w="3115" w:type="dxa"/>
          </w:tcPr>
          <w:p w:rsidR="00DA5EAD" w:rsidRPr="00B3436B" w:rsidRDefault="00DA5EAD" w:rsidP="00706FDD">
            <w:pPr>
              <w:spacing w:before="116" w:line="276" w:lineRule="auto"/>
              <w:jc w:val="right"/>
              <w:rPr>
                <w:rFonts w:asciiTheme="minorHAnsi" w:hAnsiTheme="minorHAnsi" w:cstheme="minorHAnsi"/>
              </w:rPr>
            </w:pPr>
            <w:r>
              <w:rPr>
                <w:rFonts w:asciiTheme="minorHAnsi" w:hAnsiTheme="minorHAnsi" w:cstheme="minorHAnsi"/>
              </w:rPr>
              <w:t>75(46F)</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sidDel="00F239DF">
              <w:rPr>
                <w:rFonts w:asciiTheme="minorHAnsi" w:hAnsiTheme="minorHAnsi" w:cstheme="minorHAnsi"/>
              </w:rPr>
              <w:t xml:space="preserve"> </w:t>
            </w:r>
            <w:r w:rsidRPr="0066177D">
              <w:rPr>
                <w:rFonts w:asciiTheme="minorHAnsi" w:hAnsiTheme="minorHAnsi" w:cstheme="minorHAnsi"/>
              </w:rPr>
              <w:t>de PME qui participant à des foires commerciales virtuelles</w:t>
            </w:r>
          </w:p>
        </w:tc>
        <w:tc>
          <w:tcPr>
            <w:tcW w:w="3115" w:type="dxa"/>
          </w:tcPr>
          <w:p w:rsidR="00DA5EAD" w:rsidRPr="00B3436B"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16</w:t>
            </w:r>
            <w:r>
              <w:rPr>
                <w:rFonts w:asciiTheme="minorHAnsi" w:hAnsiTheme="minorHAnsi" w:cstheme="minorHAnsi"/>
              </w:rPr>
              <w:t xml:space="preserve"> F</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sidDel="00F239DF">
              <w:rPr>
                <w:rFonts w:asciiTheme="minorHAnsi" w:hAnsiTheme="minorHAnsi" w:cstheme="minorHAnsi"/>
              </w:rPr>
              <w:t xml:space="preserve"> </w:t>
            </w:r>
            <w:r w:rsidRPr="0066177D">
              <w:rPr>
                <w:rFonts w:asciiTheme="minorHAnsi" w:hAnsiTheme="minorHAnsi" w:cstheme="minorHAnsi"/>
              </w:rPr>
              <w:t>de PME qui particip</w:t>
            </w:r>
            <w:r>
              <w:rPr>
                <w:rFonts w:asciiTheme="minorHAnsi" w:hAnsiTheme="minorHAnsi" w:cstheme="minorHAnsi"/>
              </w:rPr>
              <w:t>ent à des formations à travers le FFFE</w:t>
            </w:r>
          </w:p>
        </w:tc>
        <w:tc>
          <w:tcPr>
            <w:tcW w:w="3115" w:type="dxa"/>
          </w:tcPr>
          <w:p w:rsidR="00DA5EAD" w:rsidRPr="00B3436B" w:rsidRDefault="00DA5EAD" w:rsidP="00706FDD">
            <w:pPr>
              <w:spacing w:before="116" w:line="276" w:lineRule="auto"/>
              <w:jc w:val="right"/>
              <w:rPr>
                <w:rFonts w:asciiTheme="minorHAnsi" w:hAnsiTheme="minorHAnsi" w:cstheme="minorHAnsi"/>
              </w:rPr>
            </w:pPr>
            <w:r>
              <w:rPr>
                <w:rFonts w:asciiTheme="minorHAnsi" w:hAnsiTheme="minorHAnsi" w:cstheme="minorHAnsi"/>
              </w:rPr>
              <w:t>49 F</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Pr>
                <w:rFonts w:asciiTheme="minorHAnsi" w:hAnsiTheme="minorHAnsi" w:cstheme="minorHAnsi"/>
              </w:rPr>
              <w:t xml:space="preserve"> d’exportateurs principal</w:t>
            </w:r>
            <w:r w:rsidRPr="0066177D" w:rsidDel="009469C2">
              <w:rPr>
                <w:rFonts w:asciiTheme="minorHAnsi" w:hAnsiTheme="minorHAnsi" w:cstheme="minorHAnsi"/>
              </w:rPr>
              <w:t xml:space="preserve"> </w:t>
            </w:r>
          </w:p>
        </w:tc>
        <w:tc>
          <w:tcPr>
            <w:tcW w:w="3115" w:type="dxa"/>
          </w:tcPr>
          <w:p w:rsidR="00DA5EAD" w:rsidRPr="00B3436B"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3</w:t>
            </w:r>
            <w:r>
              <w:rPr>
                <w:rFonts w:asciiTheme="minorHAnsi" w:hAnsiTheme="minorHAnsi" w:cstheme="minorHAnsi"/>
              </w:rPr>
              <w:t>F</w:t>
            </w:r>
          </w:p>
        </w:tc>
      </w:tr>
      <w:tr w:rsidR="00DA5EAD" w:rsidRPr="00B3436B" w:rsidTr="00706FDD">
        <w:tc>
          <w:tcPr>
            <w:tcW w:w="6475" w:type="dxa"/>
          </w:tcPr>
          <w:p w:rsidR="00DA5EAD" w:rsidRPr="0066177D"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sidRPr="0066177D">
              <w:rPr>
                <w:rFonts w:asciiTheme="minorHAnsi" w:hAnsiTheme="minorHAnsi" w:cstheme="minorHAnsi"/>
              </w:rPr>
              <w:t xml:space="preserve"> d’acheteurs principal</w:t>
            </w:r>
          </w:p>
        </w:tc>
        <w:tc>
          <w:tcPr>
            <w:tcW w:w="3115" w:type="dxa"/>
          </w:tcPr>
          <w:p w:rsidR="00DA5EAD" w:rsidRPr="00B3436B" w:rsidDel="00D1558D"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2</w:t>
            </w:r>
            <w:r>
              <w:rPr>
                <w:rFonts w:asciiTheme="minorHAnsi" w:hAnsiTheme="minorHAnsi" w:cstheme="minorHAnsi"/>
              </w:rPr>
              <w:t>F</w:t>
            </w:r>
          </w:p>
        </w:tc>
      </w:tr>
      <w:tr w:rsidR="00DA5EAD" w:rsidRPr="00B3436B" w:rsidTr="00706FDD">
        <w:tc>
          <w:tcPr>
            <w:tcW w:w="6475" w:type="dxa"/>
          </w:tcPr>
          <w:p w:rsidR="00DA5EAD" w:rsidRDefault="00DA5EAD" w:rsidP="00706FDD">
            <w:pPr>
              <w:spacing w:before="116" w:line="276" w:lineRule="auto"/>
              <w:rPr>
                <w:rFonts w:asciiTheme="minorHAnsi" w:hAnsiTheme="minorHAnsi" w:cstheme="minorHAnsi"/>
              </w:rPr>
            </w:pPr>
            <w:r>
              <w:rPr>
                <w:rFonts w:asciiTheme="minorHAnsi" w:hAnsiTheme="minorHAnsi" w:cstheme="minorHAnsi"/>
              </w:rPr>
              <w:t xml:space="preserve">Participation à des foires commerciales </w:t>
            </w:r>
          </w:p>
          <w:p w:rsidR="00DA5EAD" w:rsidRPr="0066177D" w:rsidRDefault="00DA5EAD" w:rsidP="00706FDD">
            <w:pPr>
              <w:spacing w:before="116" w:line="276" w:lineRule="auto"/>
              <w:rPr>
                <w:rFonts w:asciiTheme="minorHAnsi" w:hAnsiTheme="minorHAnsi" w:cstheme="minorHAnsi"/>
              </w:rPr>
            </w:pPr>
            <w:r>
              <w:rPr>
                <w:rFonts w:asciiTheme="minorHAnsi" w:hAnsiTheme="minorHAnsi" w:cstheme="minorHAnsi"/>
              </w:rPr>
              <w:t xml:space="preserve"> Travers le fond de financement des femmes exportatrices (FFFE)</w:t>
            </w:r>
          </w:p>
        </w:tc>
        <w:tc>
          <w:tcPr>
            <w:tcW w:w="3115" w:type="dxa"/>
          </w:tcPr>
          <w:p w:rsidR="00DA5EAD" w:rsidRPr="00B3436B" w:rsidRDefault="00DA5EAD" w:rsidP="00706FDD">
            <w:pPr>
              <w:spacing w:before="116" w:line="276" w:lineRule="auto"/>
              <w:jc w:val="right"/>
              <w:rPr>
                <w:rFonts w:asciiTheme="minorHAnsi" w:hAnsiTheme="minorHAnsi" w:cstheme="minorHAnsi"/>
              </w:rPr>
            </w:pPr>
            <w:r w:rsidRPr="00B3436B">
              <w:rPr>
                <w:rFonts w:asciiTheme="minorHAnsi" w:hAnsiTheme="minorHAnsi" w:cstheme="minorHAnsi"/>
              </w:rPr>
              <w:t>2</w:t>
            </w:r>
            <w:r>
              <w:rPr>
                <w:rFonts w:asciiTheme="minorHAnsi" w:hAnsiTheme="minorHAnsi" w:cstheme="minorHAnsi"/>
              </w:rPr>
              <w:t>F</w:t>
            </w:r>
          </w:p>
        </w:tc>
      </w:tr>
      <w:tr w:rsidR="00DA5EAD" w:rsidRPr="00B3436B" w:rsidTr="00706FDD">
        <w:tc>
          <w:tcPr>
            <w:tcW w:w="6475" w:type="dxa"/>
          </w:tcPr>
          <w:p w:rsidR="00DA5EAD" w:rsidRPr="008A4694" w:rsidRDefault="00DA5EAD" w:rsidP="00706FDD">
            <w:pPr>
              <w:spacing w:before="116" w:line="276" w:lineRule="auto"/>
              <w:rPr>
                <w:rFonts w:asciiTheme="minorHAnsi" w:hAnsiTheme="minorHAnsi" w:cstheme="minorHAnsi"/>
              </w:rPr>
            </w:pPr>
            <w:r w:rsidRPr="0066177D">
              <w:rPr>
                <w:rFonts w:asciiTheme="minorHAnsi" w:hAnsiTheme="minorHAnsi" w:cstheme="minorHAnsi"/>
              </w:rPr>
              <w:t>N</w:t>
            </w:r>
            <w:r w:rsidRPr="0066177D">
              <w:rPr>
                <w:rFonts w:asciiTheme="minorHAnsi" w:hAnsiTheme="minorHAnsi" w:cstheme="minorHAnsi"/>
                <w:vertAlign w:val="superscript"/>
              </w:rPr>
              <w:t>bre</w:t>
            </w:r>
            <w:r>
              <w:rPr>
                <w:rFonts w:asciiTheme="minorHAnsi" w:hAnsiTheme="minorHAnsi" w:cstheme="minorHAnsi"/>
                <w:vertAlign w:val="superscript"/>
              </w:rPr>
              <w:t xml:space="preserve"> </w:t>
            </w:r>
            <w:r>
              <w:rPr>
                <w:rFonts w:asciiTheme="minorHAnsi" w:hAnsiTheme="minorHAnsi" w:cstheme="minorHAnsi"/>
              </w:rPr>
              <w:t>de PME qui participent à des évènements à travers les (FFFE)</w:t>
            </w:r>
          </w:p>
        </w:tc>
        <w:tc>
          <w:tcPr>
            <w:tcW w:w="3115" w:type="dxa"/>
          </w:tcPr>
          <w:p w:rsidR="00DA5EAD" w:rsidRPr="00B3436B" w:rsidRDefault="00DA5EAD" w:rsidP="00706FDD">
            <w:pPr>
              <w:spacing w:before="116" w:line="276" w:lineRule="auto"/>
              <w:jc w:val="right"/>
              <w:rPr>
                <w:rFonts w:asciiTheme="minorHAnsi" w:hAnsiTheme="minorHAnsi" w:cstheme="minorHAnsi"/>
              </w:rPr>
            </w:pPr>
            <w:r>
              <w:rPr>
                <w:rFonts w:asciiTheme="minorHAnsi" w:hAnsiTheme="minorHAnsi" w:cstheme="minorHAnsi"/>
              </w:rPr>
              <w:t>20</w:t>
            </w:r>
          </w:p>
        </w:tc>
      </w:tr>
    </w:tbl>
    <w:p w:rsidR="00DA5EAD" w:rsidRPr="00B3436B" w:rsidRDefault="00DA5EAD" w:rsidP="00DA5EAD">
      <w:pPr>
        <w:jc w:val="both"/>
        <w:rPr>
          <w:rFonts w:asciiTheme="minorHAnsi" w:hAnsiTheme="minorHAnsi" w:cstheme="minorHAnsi"/>
        </w:rPr>
      </w:pPr>
    </w:p>
    <w:p w:rsidR="00DA5EAD" w:rsidRDefault="00DA5EAD" w:rsidP="00DA5EAD">
      <w:pPr>
        <w:jc w:val="both"/>
        <w:rPr>
          <w:rFonts w:asciiTheme="minorHAnsi" w:hAnsiTheme="minorHAnsi" w:cstheme="minorHAnsi"/>
        </w:rPr>
      </w:pPr>
    </w:p>
    <w:p w:rsidR="00DA5EAD" w:rsidRDefault="00DA5EAD" w:rsidP="00DA5EAD">
      <w:pPr>
        <w:rPr>
          <w:rFonts w:ascii="Calibri" w:eastAsiaTheme="minorHAnsi" w:hAnsi="Calibri" w:cs="Calibri"/>
          <w:vanish/>
          <w:lang w:val="en-CA" w:eastAsia="en-CA"/>
        </w:rPr>
      </w:pPr>
    </w:p>
    <w:p w:rsidR="00DA5EAD" w:rsidRPr="00B3436B" w:rsidRDefault="00DA5EAD" w:rsidP="00DA5EAD"/>
    <w:p w:rsidR="00DA5EAD" w:rsidRPr="00B3436B" w:rsidRDefault="00DA5EAD" w:rsidP="00DA5EAD">
      <w:pPr>
        <w:pStyle w:val="Titre3"/>
        <w:numPr>
          <w:ilvl w:val="0"/>
          <w:numId w:val="1"/>
        </w:numPr>
        <w:jc w:val="both"/>
        <w:rPr>
          <w:rFonts w:asciiTheme="minorHAnsi" w:hAnsiTheme="minorHAnsi" w:cstheme="minorHAnsi"/>
          <w:b/>
          <w:color w:val="2E74B5" w:themeColor="accent1" w:themeShade="BF"/>
          <w:sz w:val="22"/>
          <w:szCs w:val="22"/>
        </w:rPr>
      </w:pPr>
      <w:r w:rsidRPr="00B3436B">
        <w:rPr>
          <w:rFonts w:asciiTheme="minorHAnsi" w:hAnsiTheme="minorHAnsi" w:cstheme="minorHAnsi"/>
          <w:b/>
          <w:color w:val="2E74B5" w:themeColor="accent1" w:themeShade="BF"/>
          <w:sz w:val="22"/>
          <w:szCs w:val="22"/>
        </w:rPr>
        <w:t>Durabilité des projets</w:t>
      </w:r>
    </w:p>
    <w:p w:rsidR="00DA5EAD" w:rsidRPr="00B3436B" w:rsidRDefault="00DA5EAD" w:rsidP="00DA5EAD"/>
    <w:p w:rsidR="00DA5EAD" w:rsidRPr="00953D6A" w:rsidRDefault="00DA5EAD" w:rsidP="00DA5EAD">
      <w:pPr>
        <w:rPr>
          <w:rFonts w:asciiTheme="minorHAnsi" w:hAnsiTheme="minorHAnsi" w:cstheme="minorHAnsi"/>
        </w:rPr>
      </w:pPr>
      <w:r w:rsidRPr="00953D6A">
        <w:rPr>
          <w:rFonts w:asciiTheme="minorHAnsi" w:hAnsiTheme="minorHAnsi" w:cstheme="minorHAnsi"/>
        </w:rPr>
        <w:t>Le projet assurera la durabilité des résultats du projet à travers les actions suivantes :</w:t>
      </w:r>
    </w:p>
    <w:p w:rsidR="00DA5EAD" w:rsidRPr="00953D6A" w:rsidRDefault="00DA5EAD" w:rsidP="00DA5EAD">
      <w:pPr>
        <w:pStyle w:val="Paragraphedeliste"/>
        <w:numPr>
          <w:ilvl w:val="0"/>
          <w:numId w:val="4"/>
        </w:numPr>
        <w:rPr>
          <w:rFonts w:asciiTheme="minorHAnsi" w:hAnsiTheme="minorHAnsi" w:cstheme="minorHAnsi"/>
        </w:rPr>
      </w:pPr>
      <w:r w:rsidRPr="00953D6A">
        <w:rPr>
          <w:rFonts w:asciiTheme="minorHAnsi" w:hAnsiTheme="minorHAnsi" w:cstheme="minorHAnsi"/>
        </w:rPr>
        <w:t xml:space="preserve">Appui du </w:t>
      </w:r>
      <w:r>
        <w:rPr>
          <w:rFonts w:ascii="Book Antiqua" w:hAnsi="Book Antiqua" w:cs="MS Shell Dlg"/>
          <w:sz w:val="20"/>
          <w:szCs w:val="20"/>
        </w:rPr>
        <w:t>CCI-BF</w:t>
      </w:r>
      <w:r w:rsidRPr="00953D6A">
        <w:rPr>
          <w:rFonts w:asciiTheme="minorHAnsi" w:hAnsiTheme="minorHAnsi" w:cstheme="minorHAnsi"/>
        </w:rPr>
        <w:t xml:space="preserve"> à développer / améliorer une stratégie sur le genre qui inclut un plan d'action clair et à long-terme afin d’assurer que les PME dirigées par des femmes pourront avoir un accès équitable au leadership, au réseautage et aux opportunités que présentent l'adhésion au </w:t>
      </w:r>
      <w:r>
        <w:rPr>
          <w:rFonts w:ascii="Book Antiqua" w:hAnsi="Book Antiqua" w:cs="MS Shell Dlg"/>
          <w:sz w:val="20"/>
          <w:szCs w:val="20"/>
        </w:rPr>
        <w:t>CCI-BF</w:t>
      </w:r>
      <w:r w:rsidRPr="00953D6A">
        <w:rPr>
          <w:rFonts w:asciiTheme="minorHAnsi" w:hAnsiTheme="minorHAnsi" w:cstheme="minorHAnsi"/>
        </w:rPr>
        <w:t>.</w:t>
      </w:r>
    </w:p>
    <w:p w:rsidR="00DA5EAD" w:rsidRPr="00953D6A" w:rsidRDefault="00DA5EAD" w:rsidP="00DA5EAD">
      <w:pPr>
        <w:pStyle w:val="Paragraphedeliste"/>
        <w:numPr>
          <w:ilvl w:val="0"/>
          <w:numId w:val="4"/>
        </w:numPr>
        <w:rPr>
          <w:rFonts w:asciiTheme="minorHAnsi" w:hAnsiTheme="minorHAnsi" w:cstheme="minorHAnsi"/>
        </w:rPr>
      </w:pPr>
      <w:r w:rsidRPr="00953D6A">
        <w:rPr>
          <w:rFonts w:asciiTheme="minorHAnsi" w:hAnsiTheme="minorHAnsi" w:cstheme="minorHAnsi"/>
        </w:rPr>
        <w:t>Renforcer la capacité du partenaire à fournir des services de préparation à l'exportation sensibles au genre pour les PME dirigées par des femmes et des hommes en utilisant l’information, les outils et les formations reçues ainsi que les contacts et réseaux développés au cours du projet.</w:t>
      </w:r>
    </w:p>
    <w:p w:rsidR="00DA5EAD" w:rsidRPr="00953D6A" w:rsidRDefault="00DA5EAD" w:rsidP="00DA5EAD">
      <w:pPr>
        <w:pStyle w:val="Paragraphedeliste"/>
        <w:numPr>
          <w:ilvl w:val="0"/>
          <w:numId w:val="4"/>
        </w:numPr>
        <w:rPr>
          <w:rFonts w:asciiTheme="minorHAnsi" w:hAnsiTheme="minorHAnsi" w:cstheme="minorHAnsi"/>
        </w:rPr>
      </w:pPr>
      <w:r w:rsidRPr="00953D6A">
        <w:rPr>
          <w:rFonts w:asciiTheme="minorHAnsi" w:hAnsiTheme="minorHAnsi" w:cstheme="minorHAnsi"/>
        </w:rPr>
        <w:t xml:space="preserve">Appui de la </w:t>
      </w:r>
      <w:r>
        <w:rPr>
          <w:rFonts w:ascii="Book Antiqua" w:hAnsi="Book Antiqua" w:cs="MS Shell Dlg"/>
          <w:sz w:val="20"/>
          <w:szCs w:val="20"/>
        </w:rPr>
        <w:t>CCI-BF</w:t>
      </w:r>
      <w:r w:rsidRPr="00953D6A">
        <w:rPr>
          <w:rFonts w:asciiTheme="minorHAnsi" w:hAnsiTheme="minorHAnsi" w:cstheme="minorHAnsi"/>
        </w:rPr>
        <w:t xml:space="preserve"> à développer / renforcer ses modules de formation et ses outils pédagogiques afin qu’ils prennent en compte l’adaptation aux changements climatiques et environnementaux, et inclut des pratiques commerciales responsables, ainsi que l’inclusion de stratégies d’atténuation des risques liées aux changements climatiques et environnementaux pour les PME.</w:t>
      </w:r>
    </w:p>
    <w:p w:rsidR="00DA5EAD" w:rsidRPr="00953D6A" w:rsidRDefault="00DA5EAD" w:rsidP="00DA5EAD">
      <w:pPr>
        <w:pStyle w:val="Paragraphedeliste"/>
        <w:numPr>
          <w:ilvl w:val="0"/>
          <w:numId w:val="4"/>
        </w:numPr>
        <w:rPr>
          <w:rFonts w:asciiTheme="minorHAnsi" w:hAnsiTheme="minorHAnsi" w:cstheme="minorHAnsi"/>
        </w:rPr>
      </w:pPr>
      <w:r w:rsidRPr="00953D6A">
        <w:rPr>
          <w:rFonts w:asciiTheme="minorHAnsi" w:hAnsiTheme="minorHAnsi" w:cstheme="minorHAnsi"/>
        </w:rPr>
        <w:t>Le développement des connaissances et des compétences développées dans le cadre du projet resteront dans les PME dirigées par des femmes et des hommes qui ont reçu une assistance technique et une formation.</w:t>
      </w:r>
    </w:p>
    <w:p w:rsidR="00DA5EAD" w:rsidRDefault="00DA5EAD" w:rsidP="00DA5EAD">
      <w:pPr>
        <w:pStyle w:val="Paragraphedeliste"/>
        <w:numPr>
          <w:ilvl w:val="0"/>
          <w:numId w:val="4"/>
        </w:numPr>
        <w:rPr>
          <w:rFonts w:asciiTheme="minorHAnsi" w:hAnsiTheme="minorHAnsi" w:cstheme="minorHAnsi"/>
        </w:rPr>
      </w:pPr>
      <w:r w:rsidRPr="00953D6A">
        <w:rPr>
          <w:rFonts w:asciiTheme="minorHAnsi" w:hAnsiTheme="minorHAnsi" w:cstheme="minorHAnsi"/>
        </w:rPr>
        <w:t>Le cas échéant, le projet fournira un soutien au partenaire pour concevoir une stratégie de durabilité afin de garantir les ressources nécessaires (humaines, financières et autres) pour continuer à fournir des services sensibles au genre et encourager le partage des connaissances entre les PME, comme le mentorat.</w:t>
      </w:r>
      <w:r>
        <w:rPr>
          <w:rFonts w:asciiTheme="minorHAnsi" w:hAnsiTheme="minorHAnsi" w:cstheme="minorHAnsi"/>
        </w:rPr>
        <w:t xml:space="preserve"> </w:t>
      </w:r>
    </w:p>
    <w:p w:rsidR="00DA5EAD" w:rsidRDefault="00DA5EAD" w:rsidP="00DA5EAD">
      <w:pPr>
        <w:rPr>
          <w:rFonts w:asciiTheme="minorHAnsi" w:hAnsiTheme="minorHAnsi" w:cstheme="minorHAnsi"/>
        </w:rPr>
      </w:pPr>
    </w:p>
    <w:p w:rsidR="00DA5EAD" w:rsidRPr="0006535C" w:rsidRDefault="00DA5EAD" w:rsidP="00DA5EAD">
      <w:pPr>
        <w:rPr>
          <w:rFonts w:asciiTheme="minorHAnsi" w:hAnsiTheme="minorHAnsi" w:cstheme="minorHAnsi"/>
        </w:rPr>
      </w:pPr>
      <w:bookmarkStart w:id="2" w:name="_GoBack"/>
      <w:bookmarkEnd w:id="2"/>
    </w:p>
    <w:sectPr w:rsidR="00DA5EAD" w:rsidRPr="0006535C" w:rsidSect="00FA4799">
      <w:headerReference w:type="default" r:id="rId7"/>
      <w:footerReference w:type="default" r:id="rId8"/>
      <w:pgSz w:w="12240" w:h="15840"/>
      <w:pgMar w:top="1360" w:right="1320" w:bottom="1480" w:left="1320" w:header="0" w:footer="128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02" w:rsidRDefault="00BC6702" w:rsidP="00DA5EAD">
      <w:r>
        <w:separator/>
      </w:r>
    </w:p>
  </w:endnote>
  <w:endnote w:type="continuationSeparator" w:id="0">
    <w:p w:rsidR="00BC6702" w:rsidRDefault="00BC6702" w:rsidP="00DA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115139"/>
      <w:docPartObj>
        <w:docPartGallery w:val="Page Numbers (Bottom of Page)"/>
        <w:docPartUnique/>
      </w:docPartObj>
    </w:sdtPr>
    <w:sdtContent>
      <w:p w:rsidR="00DA5EAD" w:rsidRDefault="00DA5EAD">
        <w:pPr>
          <w:pStyle w:val="Pieddepage"/>
          <w:jc w:val="right"/>
        </w:pPr>
        <w:r>
          <w:fldChar w:fldCharType="begin"/>
        </w:r>
        <w:r>
          <w:instrText>PAGE   \* MERGEFORMAT</w:instrText>
        </w:r>
        <w:r>
          <w:fldChar w:fldCharType="separate"/>
        </w:r>
        <w:r w:rsidRPr="00DA5EAD">
          <w:rPr>
            <w:noProof/>
            <w:lang w:val="fr-FR"/>
          </w:rPr>
          <w:t>6</w:t>
        </w:r>
        <w:r>
          <w:fldChar w:fldCharType="end"/>
        </w:r>
      </w:p>
    </w:sdtContent>
  </w:sdt>
  <w:p w:rsidR="00DA5EAD" w:rsidRPr="00F21F1F" w:rsidRDefault="00DA5EAD" w:rsidP="00FA4799">
    <w:pPr>
      <w:pStyle w:val="Pieddepage"/>
      <w:jc w:val="center"/>
    </w:pPr>
    <w:r>
      <w:rPr>
        <w:noProof/>
        <w:lang w:val="fr-FR" w:eastAsia="fr-FR" w:bidi="ar-SA"/>
      </w:rPr>
      <w:drawing>
        <wp:anchor distT="0" distB="0" distL="114300" distR="114300" simplePos="0" relativeHeight="251659264" behindDoc="0" locked="0" layoutInCell="1" allowOverlap="1" wp14:anchorId="0D2D82A1" wp14:editId="25F91CE0">
          <wp:simplePos x="0" y="0"/>
          <wp:positionH relativeFrom="margin">
            <wp:align>center</wp:align>
          </wp:positionH>
          <wp:positionV relativeFrom="paragraph">
            <wp:posOffset>278250</wp:posOffset>
          </wp:positionV>
          <wp:extent cx="955209" cy="457200"/>
          <wp:effectExtent l="0" t="0" r="0" b="0"/>
          <wp:wrapNone/>
          <wp:docPr id="2" name="Image 2" descr="TFO-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O-40-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209"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02" w:rsidRDefault="00BC6702" w:rsidP="00DA5EAD">
      <w:r>
        <w:separator/>
      </w:r>
    </w:p>
  </w:footnote>
  <w:footnote w:type="continuationSeparator" w:id="0">
    <w:p w:rsidR="00BC6702" w:rsidRDefault="00BC6702" w:rsidP="00DA5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D" w:rsidRPr="00F750D0" w:rsidRDefault="00DA5EAD" w:rsidP="00FA4799">
    <w:pPr>
      <w:pStyle w:val="En-tte"/>
      <w:tabs>
        <w:tab w:val="clear" w:pos="9360"/>
        <w:tab w:val="left" w:pos="8035"/>
      </w:tabs>
      <w:rPr>
        <w:lang w:val="en-CA"/>
      </w:rPr>
    </w:pPr>
    <w:r>
      <w:rPr>
        <w:lang w:val="en-CA"/>
      </w:rPr>
      <w:tab/>
    </w:r>
  </w:p>
  <w:p w:rsidR="00DA5EAD" w:rsidRPr="00BF2576" w:rsidRDefault="00DA5EAD">
    <w:pPr>
      <w:pStyle w:val="En-tte"/>
      <w:rPr>
        <w:i/>
        <w:sz w:val="18"/>
        <w:szCs w:val="18"/>
        <w:lang w:val="en-C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51B5"/>
    <w:multiLevelType w:val="multilevel"/>
    <w:tmpl w:val="A48E7AA0"/>
    <w:lvl w:ilvl="0">
      <w:start w:val="1"/>
      <w:numFmt w:val="decimal"/>
      <w:lvlText w:val="%1."/>
      <w:lvlJc w:val="left"/>
      <w:pPr>
        <w:ind w:left="480" w:hanging="360"/>
      </w:pPr>
      <w:rPr>
        <w:rFonts w:ascii="Arial" w:eastAsia="Arial" w:hAnsi="Arial" w:cs="Arial" w:hint="default"/>
        <w:b/>
        <w:bCs/>
        <w:spacing w:val="-1"/>
        <w:w w:val="99"/>
        <w:sz w:val="20"/>
        <w:szCs w:val="20"/>
        <w:lang w:val="fr-CA" w:eastAsia="fr-CA" w:bidi="fr-CA"/>
      </w:rPr>
    </w:lvl>
    <w:lvl w:ilvl="1">
      <w:start w:val="1"/>
      <w:numFmt w:val="decimal"/>
      <w:lvlText w:val="%1.%2"/>
      <w:lvlJc w:val="left"/>
      <w:pPr>
        <w:ind w:left="1056" w:hanging="576"/>
      </w:pPr>
      <w:rPr>
        <w:rFonts w:ascii="Arial" w:eastAsia="Arial" w:hAnsi="Arial" w:cs="Arial" w:hint="default"/>
        <w:b/>
        <w:bCs/>
        <w:spacing w:val="-1"/>
        <w:w w:val="99"/>
        <w:sz w:val="20"/>
        <w:szCs w:val="20"/>
        <w:lang w:val="fr-CA" w:eastAsia="fr-CA" w:bidi="fr-CA"/>
      </w:rPr>
    </w:lvl>
    <w:lvl w:ilvl="2">
      <w:start w:val="1"/>
      <w:numFmt w:val="decimal"/>
      <w:lvlText w:val="%1.%2.%3"/>
      <w:lvlJc w:val="left"/>
      <w:pPr>
        <w:ind w:left="1776" w:hanging="720"/>
      </w:pPr>
      <w:rPr>
        <w:rFonts w:hint="default"/>
        <w:spacing w:val="-1"/>
        <w:w w:val="99"/>
        <w:lang w:val="fr-CA" w:eastAsia="fr-CA" w:bidi="fr-CA"/>
      </w:rPr>
    </w:lvl>
    <w:lvl w:ilvl="3">
      <w:numFmt w:val="bullet"/>
      <w:lvlText w:val=""/>
      <w:lvlJc w:val="left"/>
      <w:pPr>
        <w:ind w:left="2246" w:hanging="720"/>
      </w:pPr>
      <w:rPr>
        <w:rFonts w:ascii="Symbol" w:eastAsia="Symbol" w:hAnsi="Symbol" w:cs="Symbol" w:hint="default"/>
        <w:w w:val="99"/>
        <w:sz w:val="20"/>
        <w:szCs w:val="20"/>
        <w:lang w:val="fr-CA" w:eastAsia="fr-CA" w:bidi="fr-CA"/>
      </w:rPr>
    </w:lvl>
    <w:lvl w:ilvl="4">
      <w:numFmt w:val="bullet"/>
      <w:lvlText w:val="•"/>
      <w:lvlJc w:val="left"/>
      <w:pPr>
        <w:ind w:left="3291" w:hanging="720"/>
      </w:pPr>
      <w:rPr>
        <w:rFonts w:hint="default"/>
        <w:lang w:val="fr-CA" w:eastAsia="fr-CA" w:bidi="fr-CA"/>
      </w:rPr>
    </w:lvl>
    <w:lvl w:ilvl="5">
      <w:numFmt w:val="bullet"/>
      <w:lvlText w:val="•"/>
      <w:lvlJc w:val="left"/>
      <w:pPr>
        <w:ind w:left="4342" w:hanging="720"/>
      </w:pPr>
      <w:rPr>
        <w:rFonts w:hint="default"/>
        <w:lang w:val="fr-CA" w:eastAsia="fr-CA" w:bidi="fr-CA"/>
      </w:rPr>
    </w:lvl>
    <w:lvl w:ilvl="6">
      <w:numFmt w:val="bullet"/>
      <w:lvlText w:val="•"/>
      <w:lvlJc w:val="left"/>
      <w:pPr>
        <w:ind w:left="5394" w:hanging="720"/>
      </w:pPr>
      <w:rPr>
        <w:rFonts w:hint="default"/>
        <w:lang w:val="fr-CA" w:eastAsia="fr-CA" w:bidi="fr-CA"/>
      </w:rPr>
    </w:lvl>
    <w:lvl w:ilvl="7">
      <w:numFmt w:val="bullet"/>
      <w:lvlText w:val="•"/>
      <w:lvlJc w:val="left"/>
      <w:pPr>
        <w:ind w:left="6445" w:hanging="720"/>
      </w:pPr>
      <w:rPr>
        <w:rFonts w:hint="default"/>
        <w:lang w:val="fr-CA" w:eastAsia="fr-CA" w:bidi="fr-CA"/>
      </w:rPr>
    </w:lvl>
    <w:lvl w:ilvl="8">
      <w:numFmt w:val="bullet"/>
      <w:lvlText w:val="•"/>
      <w:lvlJc w:val="left"/>
      <w:pPr>
        <w:ind w:left="7497" w:hanging="720"/>
      </w:pPr>
      <w:rPr>
        <w:rFonts w:hint="default"/>
        <w:lang w:val="fr-CA" w:eastAsia="fr-CA" w:bidi="fr-CA"/>
      </w:rPr>
    </w:lvl>
  </w:abstractNum>
  <w:abstractNum w:abstractNumId="1" w15:restartNumberingAfterBreak="0">
    <w:nsid w:val="1B8748E8"/>
    <w:multiLevelType w:val="hybridMultilevel"/>
    <w:tmpl w:val="73308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4B414A"/>
    <w:multiLevelType w:val="hybridMultilevel"/>
    <w:tmpl w:val="DEF4E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6127E1"/>
    <w:multiLevelType w:val="hybridMultilevel"/>
    <w:tmpl w:val="4154B3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1766EC1"/>
    <w:multiLevelType w:val="hybridMultilevel"/>
    <w:tmpl w:val="400EE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D858B3"/>
    <w:multiLevelType w:val="hybridMultilevel"/>
    <w:tmpl w:val="CC36A9D8"/>
    <w:lvl w:ilvl="0" w:tplc="FAC29DA2">
      <w:start w:val="1121"/>
      <w:numFmt w:val="bullet"/>
      <w:lvlText w:val="-"/>
      <w:lvlJc w:val="left"/>
      <w:pPr>
        <w:ind w:left="720" w:hanging="360"/>
      </w:pPr>
      <w:rPr>
        <w:rFonts w:ascii="Calibri" w:eastAsia="Arial" w:hAnsi="Calibri"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AD"/>
    <w:rsid w:val="004E4D16"/>
    <w:rsid w:val="00572577"/>
    <w:rsid w:val="00BC6702"/>
    <w:rsid w:val="00DA5EAD"/>
    <w:rsid w:val="00F87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9C2A"/>
  <w15:chartTrackingRefBased/>
  <w15:docId w15:val="{5ACFC632-F59C-447E-9DA5-9438BDCF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AD"/>
    <w:pPr>
      <w:widowControl w:val="0"/>
      <w:autoSpaceDE w:val="0"/>
      <w:autoSpaceDN w:val="0"/>
      <w:spacing w:after="0" w:line="240" w:lineRule="auto"/>
    </w:pPr>
    <w:rPr>
      <w:rFonts w:ascii="Arial" w:eastAsia="Arial" w:hAnsi="Arial" w:cs="Arial"/>
      <w:lang w:val="fr-CA" w:eastAsia="fr-CA" w:bidi="fr-CA"/>
    </w:rPr>
  </w:style>
  <w:style w:type="paragraph" w:styleId="Titre3">
    <w:name w:val="heading 3"/>
    <w:basedOn w:val="Normal"/>
    <w:next w:val="Normal"/>
    <w:link w:val="Titre3Car"/>
    <w:uiPriority w:val="9"/>
    <w:unhideWhenUsed/>
    <w:qFormat/>
    <w:rsid w:val="00DA5E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A5EAD"/>
    <w:rPr>
      <w:rFonts w:asciiTheme="majorHAnsi" w:eastAsiaTheme="majorEastAsia" w:hAnsiTheme="majorHAnsi" w:cstheme="majorBidi"/>
      <w:color w:val="1F4D78" w:themeColor="accent1" w:themeShade="7F"/>
      <w:sz w:val="24"/>
      <w:szCs w:val="24"/>
      <w:lang w:val="fr-CA" w:eastAsia="fr-CA" w:bidi="fr-CA"/>
    </w:rPr>
  </w:style>
  <w:style w:type="paragraph" w:styleId="Corpsdetexte">
    <w:name w:val="Body Text"/>
    <w:basedOn w:val="Normal"/>
    <w:link w:val="CorpsdetexteCar"/>
    <w:uiPriority w:val="1"/>
    <w:qFormat/>
    <w:rsid w:val="00DA5EAD"/>
    <w:rPr>
      <w:sz w:val="20"/>
      <w:szCs w:val="20"/>
    </w:rPr>
  </w:style>
  <w:style w:type="character" w:customStyle="1" w:styleId="CorpsdetexteCar">
    <w:name w:val="Corps de texte Car"/>
    <w:basedOn w:val="Policepardfaut"/>
    <w:link w:val="Corpsdetexte"/>
    <w:uiPriority w:val="1"/>
    <w:rsid w:val="00DA5EAD"/>
    <w:rPr>
      <w:rFonts w:ascii="Arial" w:eastAsia="Arial" w:hAnsi="Arial" w:cs="Arial"/>
      <w:sz w:val="20"/>
      <w:szCs w:val="20"/>
      <w:lang w:val="fr-CA" w:eastAsia="fr-CA" w:bidi="fr-CA"/>
    </w:rPr>
  </w:style>
  <w:style w:type="paragraph" w:styleId="Paragraphedeliste">
    <w:name w:val="List Paragraph"/>
    <w:aliases w:val="Bullets,Paragraphe de liste1,Paragraphe de liste11,L_4,Paragraphe de liste4,References,List Paragraph1,Dot pt,F5 List Paragraph,No Spacing1,List Paragraph Char Char Char,Indicator Text,Numbered Para 1,Evidence on Demand bullet points"/>
    <w:basedOn w:val="Normal"/>
    <w:link w:val="ParagraphedelisteCar"/>
    <w:uiPriority w:val="34"/>
    <w:qFormat/>
    <w:rsid w:val="00DA5EAD"/>
    <w:pPr>
      <w:spacing w:before="34"/>
      <w:ind w:left="1876" w:hanging="360"/>
    </w:pPr>
  </w:style>
  <w:style w:type="paragraph" w:styleId="En-tte">
    <w:name w:val="header"/>
    <w:basedOn w:val="Normal"/>
    <w:link w:val="En-tteCar"/>
    <w:uiPriority w:val="99"/>
    <w:unhideWhenUsed/>
    <w:rsid w:val="00DA5EAD"/>
    <w:pPr>
      <w:tabs>
        <w:tab w:val="center" w:pos="4680"/>
        <w:tab w:val="right" w:pos="9360"/>
      </w:tabs>
    </w:pPr>
  </w:style>
  <w:style w:type="character" w:customStyle="1" w:styleId="En-tteCar">
    <w:name w:val="En-tête Car"/>
    <w:basedOn w:val="Policepardfaut"/>
    <w:link w:val="En-tte"/>
    <w:uiPriority w:val="99"/>
    <w:rsid w:val="00DA5EAD"/>
    <w:rPr>
      <w:rFonts w:ascii="Arial" w:eastAsia="Arial" w:hAnsi="Arial" w:cs="Arial"/>
      <w:lang w:val="fr-CA" w:eastAsia="fr-CA" w:bidi="fr-CA"/>
    </w:rPr>
  </w:style>
  <w:style w:type="paragraph" w:styleId="Pieddepage">
    <w:name w:val="footer"/>
    <w:basedOn w:val="Normal"/>
    <w:link w:val="PieddepageCar"/>
    <w:uiPriority w:val="99"/>
    <w:unhideWhenUsed/>
    <w:rsid w:val="00DA5EAD"/>
    <w:pPr>
      <w:tabs>
        <w:tab w:val="center" w:pos="4680"/>
        <w:tab w:val="right" w:pos="9360"/>
      </w:tabs>
    </w:pPr>
  </w:style>
  <w:style w:type="character" w:customStyle="1" w:styleId="PieddepageCar">
    <w:name w:val="Pied de page Car"/>
    <w:basedOn w:val="Policepardfaut"/>
    <w:link w:val="Pieddepage"/>
    <w:uiPriority w:val="99"/>
    <w:rsid w:val="00DA5EAD"/>
    <w:rPr>
      <w:rFonts w:ascii="Arial" w:eastAsia="Arial" w:hAnsi="Arial" w:cs="Arial"/>
      <w:lang w:val="fr-CA" w:eastAsia="fr-CA" w:bidi="fr-CA"/>
    </w:rPr>
  </w:style>
  <w:style w:type="table" w:styleId="Grilledutableau">
    <w:name w:val="Table Grid"/>
    <w:basedOn w:val="TableauNormal"/>
    <w:uiPriority w:val="39"/>
    <w:rsid w:val="00DA5EA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s Car,Paragraphe de liste1 Car,Paragraphe de liste11 Car,L_4 Car,Paragraphe de liste4 Car,References Car,List Paragraph1 Car,Dot pt Car,F5 List Paragraph Car,No Spacing1 Car,List Paragraph Char Char Char Car"/>
    <w:link w:val="Paragraphedeliste"/>
    <w:uiPriority w:val="34"/>
    <w:locked/>
    <w:rsid w:val="00DA5EAD"/>
    <w:rPr>
      <w:rFonts w:ascii="Arial" w:eastAsia="Arial" w:hAnsi="Arial" w:cs="Arial"/>
      <w:lang w:val="fr-CA" w:eastAsia="fr-CA" w:bidi="fr-CA"/>
    </w:rPr>
  </w:style>
  <w:style w:type="table" w:customStyle="1" w:styleId="TableGrid3">
    <w:name w:val="Table Grid3"/>
    <w:basedOn w:val="TableauNormal"/>
    <w:next w:val="Grilledutableau"/>
    <w:uiPriority w:val="39"/>
    <w:rsid w:val="00DA5EA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Geneva 9,Font: Geneva 9,Boston 10,f,Char,5_G,single space,ft,ADB,FOOTNOTES,ALTS FOOTNOTE,Footnote ak,Footnotes,Footnote Text Char2,Footnote Text Char Char1,Footnote Text Char1 Char Char,Footnote Text Char Char Char Char"/>
    <w:basedOn w:val="Normal"/>
    <w:link w:val="NotedebasdepageCar"/>
    <w:uiPriority w:val="99"/>
    <w:unhideWhenUsed/>
    <w:qFormat/>
    <w:rsid w:val="00DA5EAD"/>
    <w:pPr>
      <w:widowControl/>
      <w:autoSpaceDE/>
      <w:autoSpaceDN/>
    </w:pPr>
    <w:rPr>
      <w:rFonts w:asciiTheme="minorHAnsi" w:eastAsiaTheme="minorHAnsi" w:hAnsiTheme="minorHAnsi" w:cstheme="minorBidi"/>
      <w:sz w:val="20"/>
      <w:szCs w:val="20"/>
      <w:lang w:val="en-CA" w:eastAsia="en-US" w:bidi="ar-SA"/>
    </w:rPr>
  </w:style>
  <w:style w:type="character" w:customStyle="1" w:styleId="NotedebasdepageCar">
    <w:name w:val="Note de bas de page Car"/>
    <w:aliases w:val="fn Car,Geneva 9 Car,Font: Geneva 9 Car,Boston 10 Car,f Car,Char Car,5_G Car,single space Car,ft Car,ADB Car,FOOTNOTES Car,ALTS FOOTNOTE Car,Footnote ak Car,Footnotes Car,Footnote Text Char2 Car,Footnote Text Char Char1 Car"/>
    <w:basedOn w:val="Policepardfaut"/>
    <w:link w:val="Notedebasdepage"/>
    <w:uiPriority w:val="99"/>
    <w:rsid w:val="00DA5EAD"/>
    <w:rPr>
      <w:sz w:val="20"/>
      <w:szCs w:val="20"/>
      <w:lang w:val="en-CA"/>
    </w:rPr>
  </w:style>
  <w:style w:type="character" w:styleId="Appelnotedebasdep">
    <w:name w:val="footnote reference"/>
    <w:aliases w:val="4_G,16 Point,Superscript 6 Point,SUPERS,ftref,Ref,de nota al pie,Char Char Char Char Car Char,Footnote symbol,Voetnootverwijzing,Fußnotenzeichen2,Times 10 Point,Exposant 3 Point,-E Fußnotenzeichen,ESPON Footnote No,Footnote call"/>
    <w:basedOn w:val="Policepardfaut"/>
    <w:uiPriority w:val="99"/>
    <w:unhideWhenUsed/>
    <w:rsid w:val="00DA5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629C8.776D2D1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2387</Words>
  <Characters>13129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Gilbert OUEDRAOGO</dc:creator>
  <cp:keywords/>
  <dc:description/>
  <cp:lastModifiedBy>P. Gilbert OUEDRAOGO</cp:lastModifiedBy>
  <cp:revision>1</cp:revision>
  <dcterms:created xsi:type="dcterms:W3CDTF">2022-03-23T15:13:00Z</dcterms:created>
  <dcterms:modified xsi:type="dcterms:W3CDTF">2022-03-23T15:15:00Z</dcterms:modified>
</cp:coreProperties>
</file>